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1036D" w14:textId="77777777" w:rsidR="00CC2BE2" w:rsidRDefault="00CC2BE2" w:rsidP="001217CE">
      <w:pPr>
        <w:rPr>
          <w:rFonts w:ascii="Nunito" w:hAnsi="Nunito"/>
          <w:b/>
          <w:bCs/>
          <w:sz w:val="36"/>
          <w:szCs w:val="36"/>
        </w:rPr>
      </w:pPr>
    </w:p>
    <w:p w14:paraId="5E808FC4" w14:textId="13B2DF66" w:rsidR="001217CE" w:rsidRPr="00D021F8" w:rsidRDefault="001217CE" w:rsidP="001217CE">
      <w:pPr>
        <w:rPr>
          <w:rFonts w:ascii="Nunito" w:hAnsi="Nunito"/>
          <w:b/>
          <w:bCs/>
          <w:sz w:val="36"/>
          <w:szCs w:val="36"/>
        </w:rPr>
      </w:pPr>
      <w:r w:rsidRPr="00D021F8">
        <w:rPr>
          <w:rFonts w:ascii="Nunito" w:hAnsi="Nunito"/>
          <w:b/>
          <w:bCs/>
          <w:sz w:val="36"/>
          <w:szCs w:val="36"/>
        </w:rPr>
        <w:t>Priority Area: Safe and Thriving Children</w:t>
      </w:r>
    </w:p>
    <w:p w14:paraId="05184C6A" w14:textId="33D2D1EE" w:rsidR="001217CE" w:rsidRPr="00D021F8" w:rsidRDefault="001217CE" w:rsidP="001217CE">
      <w:pPr>
        <w:rPr>
          <w:rFonts w:ascii="Nunito" w:hAnsi="Nunito"/>
          <w:b/>
          <w:bCs/>
          <w:sz w:val="36"/>
          <w:szCs w:val="36"/>
        </w:rPr>
      </w:pPr>
      <w:r w:rsidRPr="00D021F8">
        <w:rPr>
          <w:rFonts w:ascii="Nunito" w:hAnsi="Nunito"/>
          <w:b/>
          <w:bCs/>
          <w:sz w:val="36"/>
          <w:szCs w:val="36"/>
        </w:rPr>
        <w:t>Vision:</w:t>
      </w:r>
      <w:r w:rsidRPr="00D021F8">
        <w:rPr>
          <w:rFonts w:ascii="Nunito" w:hAnsi="Nunito"/>
          <w:sz w:val="36"/>
          <w:szCs w:val="36"/>
        </w:rPr>
        <w:t xml:space="preserve"> All children are raised in psychologically, physically, emotionally, and culturally safe environments that listen and respond to them appropriately, enabling them to thrive and meet their potential</w:t>
      </w:r>
      <w:r w:rsidR="00CD7506">
        <w:rPr>
          <w:rFonts w:ascii="Nunito" w:hAnsi="Nunito"/>
          <w:sz w:val="36"/>
          <w:szCs w:val="36"/>
        </w:rPr>
        <w:t>.</w:t>
      </w:r>
    </w:p>
    <w:p w14:paraId="10383BCD" w14:textId="77777777" w:rsidR="001217CE" w:rsidRPr="00D021F8" w:rsidRDefault="001217CE" w:rsidP="001217CE">
      <w:pPr>
        <w:rPr>
          <w:rFonts w:ascii="Nunito" w:hAnsi="Nunito"/>
          <w:b/>
          <w:bCs/>
        </w:rPr>
      </w:pPr>
    </w:p>
    <w:p w14:paraId="585AF147" w14:textId="77777777" w:rsidR="001217CE" w:rsidRPr="00D021F8" w:rsidRDefault="001217CE" w:rsidP="001217CE">
      <w:pPr>
        <w:rPr>
          <w:rFonts w:ascii="Nunito" w:eastAsia="Times New Roman" w:hAnsi="Nunito" w:cs="Arial"/>
          <w:b/>
          <w:bCs/>
          <w:sz w:val="28"/>
          <w:szCs w:val="28"/>
          <w:lang w:eastAsia="en-AU"/>
        </w:rPr>
      </w:pPr>
      <w:r w:rsidRPr="00D021F8">
        <w:rPr>
          <w:rFonts w:ascii="Nunito" w:hAnsi="Nunito"/>
          <w:b/>
          <w:bCs/>
          <w:sz w:val="28"/>
          <w:szCs w:val="28"/>
        </w:rPr>
        <w:t>Situation:</w:t>
      </w:r>
      <w:r w:rsidRPr="00D021F8">
        <w:rPr>
          <w:rFonts w:ascii="Nunito" w:eastAsia="Times New Roman" w:hAnsi="Nunito" w:cs="Arial"/>
          <w:b/>
          <w:bCs/>
          <w:sz w:val="28"/>
          <w:szCs w:val="28"/>
          <w:lang w:eastAsia="en-AU"/>
        </w:rPr>
        <w:t xml:space="preserve"> </w:t>
      </w:r>
    </w:p>
    <w:p w14:paraId="33E70769" w14:textId="77777777" w:rsidR="001217CE" w:rsidRPr="00D021F8" w:rsidRDefault="001217CE" w:rsidP="001217CE">
      <w:pPr>
        <w:rPr>
          <w:rFonts w:ascii="Nunito" w:hAnsi="Nunito"/>
          <w:b/>
          <w:bCs/>
          <w:sz w:val="28"/>
          <w:szCs w:val="28"/>
        </w:rPr>
      </w:pPr>
      <w:r w:rsidRPr="00D021F8">
        <w:rPr>
          <w:rFonts w:ascii="Nunito" w:eastAsia="Times New Roman" w:hAnsi="Nunito" w:cs="Arial"/>
          <w:sz w:val="20"/>
          <w:szCs w:val="20"/>
          <w:lang w:eastAsia="en-AU"/>
        </w:rPr>
        <w:t xml:space="preserve">High rates of family stress, isolation, institutional mistrust, and issues navigating complex services contribute to vulnerability and an environment that puts children at risk. </w:t>
      </w:r>
      <w:r w:rsidRPr="00D021F8">
        <w:rPr>
          <w:rFonts w:ascii="Nunito" w:eastAsia="Times New Roman" w:hAnsi="Nunito" w:cs="Arial"/>
          <w:sz w:val="20"/>
          <w:szCs w:val="20"/>
          <w:lang w:eastAsia="en-AU"/>
        </w:rPr>
        <w:br/>
      </w:r>
      <w:r w:rsidRPr="00D021F8">
        <w:rPr>
          <w:rFonts w:ascii="Nunito" w:eastAsia="Times New Roman" w:hAnsi="Nunito" w:cs="Arial"/>
          <w:sz w:val="20"/>
          <w:szCs w:val="20"/>
          <w:lang w:eastAsia="en-AU"/>
        </w:rPr>
        <w:br/>
        <w:t xml:space="preserve">Services are lacking a shared, consistent approach and understanding of systems, professional thinking, and approaches which allows for individuals and families to get caught in the gaps. </w:t>
      </w:r>
      <w:r w:rsidRPr="00D021F8">
        <w:rPr>
          <w:rFonts w:ascii="Nunito" w:eastAsia="Times New Roman" w:hAnsi="Nunito" w:cs="Arial"/>
          <w:sz w:val="20"/>
          <w:szCs w:val="20"/>
          <w:lang w:eastAsia="en-AU"/>
        </w:rPr>
        <w:br/>
      </w:r>
      <w:r w:rsidRPr="00D021F8">
        <w:rPr>
          <w:rFonts w:ascii="Nunito" w:eastAsia="Times New Roman" w:hAnsi="Nunito" w:cs="Arial"/>
          <w:sz w:val="20"/>
          <w:szCs w:val="20"/>
          <w:lang w:eastAsia="en-AU"/>
        </w:rPr>
        <w:br/>
        <w:t>A lack of child-friendly public environments and public spaces compound isolation and increase barriers to social capital in early parenting leading to increased gender inequity and further risks of isolation and vulnerability.</w:t>
      </w:r>
    </w:p>
    <w:p w14:paraId="41142016" w14:textId="77777777" w:rsidR="001217CE" w:rsidRDefault="001217CE" w:rsidP="001217CE">
      <w:pPr>
        <w:rPr>
          <w:rFonts w:ascii="Nunito" w:hAnsi="Nunito"/>
          <w:b/>
          <w:bCs/>
          <w:sz w:val="28"/>
          <w:szCs w:val="28"/>
        </w:rPr>
      </w:pPr>
    </w:p>
    <w:p w14:paraId="066388E2" w14:textId="77777777" w:rsidR="00CC2BE2" w:rsidRDefault="00CC2BE2" w:rsidP="001217CE">
      <w:pPr>
        <w:spacing w:after="0" w:line="240" w:lineRule="auto"/>
        <w:rPr>
          <w:rFonts w:ascii="Nunito" w:eastAsia="Times New Roman" w:hAnsi="Nunito" w:cs="Arial"/>
          <w:b/>
          <w:bCs/>
          <w:sz w:val="20"/>
          <w:szCs w:val="20"/>
          <w:lang w:eastAsia="en-AU"/>
        </w:rPr>
      </w:pPr>
    </w:p>
    <w:p w14:paraId="5E57BAF5" w14:textId="77777777" w:rsidR="00CC2BE2" w:rsidRDefault="00CC2BE2" w:rsidP="001217CE">
      <w:pPr>
        <w:spacing w:after="0" w:line="240" w:lineRule="auto"/>
        <w:rPr>
          <w:rFonts w:ascii="Nunito" w:eastAsia="Times New Roman" w:hAnsi="Nunito" w:cs="Arial"/>
          <w:b/>
          <w:bCs/>
          <w:sz w:val="20"/>
          <w:szCs w:val="20"/>
          <w:lang w:eastAsia="en-AU"/>
        </w:rPr>
      </w:pPr>
    </w:p>
    <w:p w14:paraId="44CA63F0" w14:textId="77777777" w:rsidR="00564646" w:rsidRDefault="00564646" w:rsidP="001217CE">
      <w:pPr>
        <w:spacing w:after="0" w:line="240" w:lineRule="auto"/>
        <w:rPr>
          <w:rFonts w:ascii="Nunito" w:eastAsia="Times New Roman" w:hAnsi="Nunito" w:cs="Arial"/>
          <w:b/>
          <w:bCs/>
          <w:sz w:val="28"/>
          <w:szCs w:val="28"/>
          <w:lang w:eastAsia="en-AU"/>
        </w:rPr>
      </w:pPr>
    </w:p>
    <w:p w14:paraId="539983B0" w14:textId="77777777" w:rsidR="00AC5A68" w:rsidRDefault="00AC5A68" w:rsidP="001217CE">
      <w:pPr>
        <w:spacing w:after="0" w:line="240" w:lineRule="auto"/>
        <w:rPr>
          <w:rFonts w:ascii="Nunito" w:eastAsia="Times New Roman" w:hAnsi="Nunito" w:cs="Arial"/>
          <w:b/>
          <w:bCs/>
          <w:sz w:val="28"/>
          <w:szCs w:val="28"/>
          <w:lang w:eastAsia="en-AU"/>
        </w:rPr>
      </w:pPr>
    </w:p>
    <w:p w14:paraId="7302BBDF" w14:textId="74D968E1" w:rsidR="00CC2BE2" w:rsidRPr="00CC2BE2" w:rsidRDefault="00CC2BE2" w:rsidP="001217CE">
      <w:pPr>
        <w:spacing w:after="0" w:line="240" w:lineRule="auto"/>
        <w:rPr>
          <w:rFonts w:ascii="Nunito" w:eastAsia="Times New Roman" w:hAnsi="Nunito" w:cs="Arial"/>
          <w:b/>
          <w:bCs/>
          <w:sz w:val="28"/>
          <w:szCs w:val="28"/>
          <w:lang w:eastAsia="en-AU"/>
        </w:rPr>
      </w:pPr>
      <w:r w:rsidRPr="00CC2BE2">
        <w:rPr>
          <w:rFonts w:ascii="Nunito" w:eastAsia="Times New Roman" w:hAnsi="Nunito" w:cs="Arial"/>
          <w:b/>
          <w:bCs/>
          <w:sz w:val="28"/>
          <w:szCs w:val="28"/>
          <w:lang w:eastAsia="en-AU"/>
        </w:rPr>
        <w:t>Inputs:</w:t>
      </w:r>
    </w:p>
    <w:p w14:paraId="34FF220B" w14:textId="77777777" w:rsidR="00CC2BE2" w:rsidRDefault="00CC2BE2" w:rsidP="001217CE">
      <w:pPr>
        <w:spacing w:after="0" w:line="240" w:lineRule="auto"/>
        <w:rPr>
          <w:rFonts w:ascii="Nunito" w:eastAsia="Times New Roman" w:hAnsi="Nunito" w:cs="Arial"/>
          <w:b/>
          <w:bCs/>
          <w:sz w:val="20"/>
          <w:szCs w:val="20"/>
          <w:lang w:eastAsia="en-AU"/>
        </w:rPr>
      </w:pPr>
    </w:p>
    <w:p w14:paraId="3C1FB6C5" w14:textId="4AEE59FD" w:rsidR="001217CE" w:rsidRPr="00610C7D" w:rsidRDefault="001217CE" w:rsidP="001217CE">
      <w:pPr>
        <w:spacing w:after="0" w:line="240" w:lineRule="auto"/>
        <w:rPr>
          <w:rFonts w:ascii="Nunito" w:eastAsia="Times New Roman" w:hAnsi="Nunito" w:cs="Arial"/>
          <w:b/>
          <w:bCs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b/>
          <w:bCs/>
          <w:sz w:val="20"/>
          <w:szCs w:val="20"/>
          <w:lang w:eastAsia="en-AU"/>
        </w:rPr>
        <w:t>Services &amp; Providers</w:t>
      </w:r>
    </w:p>
    <w:p w14:paraId="27B3880C" w14:textId="31F00AF7" w:rsidR="001217CE" w:rsidRPr="00D021F8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sz w:val="20"/>
          <w:szCs w:val="20"/>
          <w:lang w:eastAsia="en-AU"/>
        </w:rPr>
        <w:t>Maternal &amp; Child Health (DH &amp; Council)</w:t>
      </w:r>
    </w:p>
    <w:p w14:paraId="2D76FE17" w14:textId="77777777" w:rsidR="001217CE" w:rsidRPr="00D021F8" w:rsidRDefault="001217CE" w:rsidP="001217CE">
      <w:pPr>
        <w:pStyle w:val="ListParagraph"/>
        <w:numPr>
          <w:ilvl w:val="1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sz w:val="20"/>
          <w:szCs w:val="20"/>
          <w:lang w:eastAsia="en-AU"/>
        </w:rPr>
        <w:t>Universal Service</w:t>
      </w:r>
    </w:p>
    <w:p w14:paraId="48FE8801" w14:textId="77777777" w:rsidR="001217CE" w:rsidRPr="00D021F8" w:rsidRDefault="001217CE" w:rsidP="001217CE">
      <w:pPr>
        <w:pStyle w:val="ListParagraph"/>
        <w:numPr>
          <w:ilvl w:val="1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sz w:val="20"/>
          <w:szCs w:val="20"/>
          <w:lang w:eastAsia="en-AU"/>
        </w:rPr>
        <w:t xml:space="preserve">Enhanced Nursing program </w:t>
      </w:r>
    </w:p>
    <w:p w14:paraId="67B46B6C" w14:textId="4877504E" w:rsidR="001217CE" w:rsidRPr="00D021F8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sz w:val="20"/>
          <w:szCs w:val="20"/>
          <w:lang w:eastAsia="en-AU"/>
        </w:rPr>
        <w:t>Early Childhood Education Centres (Private, Council, Commonwealth)</w:t>
      </w:r>
    </w:p>
    <w:p w14:paraId="0F89FF01" w14:textId="77777777" w:rsidR="001217CE" w:rsidRPr="00D021F8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sz w:val="20"/>
          <w:szCs w:val="20"/>
          <w:lang w:eastAsia="en-AU"/>
        </w:rPr>
        <w:t>Family Services (Anglicare) (DFFH)</w:t>
      </w:r>
    </w:p>
    <w:p w14:paraId="3C088B00" w14:textId="77777777" w:rsidR="001217CE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sz w:val="20"/>
          <w:szCs w:val="20"/>
          <w:lang w:eastAsia="en-AU"/>
        </w:rPr>
        <w:t>Best Start (DET)</w:t>
      </w:r>
      <w:r w:rsidRPr="00610C7D">
        <w:rPr>
          <w:rFonts w:ascii="Nunito" w:eastAsia="Times New Roman" w:hAnsi="Nunito" w:cs="Arial"/>
          <w:sz w:val="20"/>
          <w:szCs w:val="20"/>
          <w:lang w:eastAsia="en-AU"/>
        </w:rPr>
        <w:t xml:space="preserve"> </w:t>
      </w:r>
    </w:p>
    <w:p w14:paraId="2EC95D56" w14:textId="3BAFC749" w:rsidR="001217CE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 xml:space="preserve">Community based Child </w:t>
      </w:r>
      <w:r w:rsidR="00395104">
        <w:rPr>
          <w:rFonts w:ascii="Nunito" w:eastAsia="Times New Roman" w:hAnsi="Nunito" w:cs="Arial"/>
          <w:sz w:val="20"/>
          <w:szCs w:val="20"/>
          <w:lang w:eastAsia="en-AU"/>
        </w:rPr>
        <w:t>P</w:t>
      </w:r>
      <w:r>
        <w:rPr>
          <w:rFonts w:ascii="Nunito" w:eastAsia="Times New Roman" w:hAnsi="Nunito" w:cs="Arial"/>
          <w:sz w:val="20"/>
          <w:szCs w:val="20"/>
          <w:lang w:eastAsia="en-AU"/>
        </w:rPr>
        <w:t>rotection (DFFH)</w:t>
      </w:r>
    </w:p>
    <w:p w14:paraId="7E0E7A04" w14:textId="77777777" w:rsidR="001217CE" w:rsidRDefault="001217CE" w:rsidP="13CCDE6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13CCDE6E">
        <w:rPr>
          <w:rFonts w:ascii="Nunito" w:eastAsia="Times New Roman" w:hAnsi="Nunito" w:cs="Arial"/>
          <w:sz w:val="20"/>
          <w:szCs w:val="20"/>
          <w:lang w:eastAsia="en-AU"/>
        </w:rPr>
        <w:t>Centre for Non-Violence</w:t>
      </w:r>
    </w:p>
    <w:p w14:paraId="0C6BDA20" w14:textId="77777777" w:rsidR="001217CE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>Orange Door (DFFH via Anglicare)</w:t>
      </w:r>
    </w:p>
    <w:p w14:paraId="209BBC0B" w14:textId="77777777" w:rsidR="001217CE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>Victorian Police</w:t>
      </w:r>
    </w:p>
    <w:p w14:paraId="4F84E4C1" w14:textId="77777777" w:rsidR="00CC2BE2" w:rsidRPr="00CC2BE2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83470A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Primary Schools</w:t>
      </w:r>
    </w:p>
    <w:p w14:paraId="52DD6D31" w14:textId="55CA5D4B" w:rsidR="00CC2BE2" w:rsidRPr="00CC2BE2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CC2BE2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GPs visiting </w:t>
      </w:r>
      <w:r w:rsidR="00AC5A6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&amp; </w:t>
      </w:r>
      <w:r w:rsidRPr="00CC2BE2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paediatric practitioners</w:t>
      </w:r>
    </w:p>
    <w:p w14:paraId="00761A1C" w14:textId="77777777" w:rsidR="00AC5A68" w:rsidRPr="00AC5A68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CC2BE2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Loddon Campaspe Community Legal Centre</w:t>
      </w:r>
      <w:r w:rsidRPr="00CC2BE2">
        <w:rPr>
          <w:rFonts w:ascii="Nunito" w:eastAsia="Times New Roman" w:hAnsi="Nunito" w:cs="Arial"/>
          <w:b/>
          <w:bCs/>
          <w:sz w:val="20"/>
          <w:szCs w:val="20"/>
          <w:lang w:eastAsia="en-AU"/>
        </w:rPr>
        <w:t xml:space="preserve"> </w:t>
      </w:r>
    </w:p>
    <w:p w14:paraId="6A613053" w14:textId="574C6935" w:rsidR="001217CE" w:rsidRPr="00CC2BE2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CC2BE2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C</w:t>
      </w:r>
      <w:r w:rsidR="00AC5A6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entre </w:t>
      </w:r>
      <w:r w:rsidRPr="00CC2BE2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A</w:t>
      </w:r>
      <w:r w:rsidR="00AC5A6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gainst </w:t>
      </w:r>
      <w:r w:rsidRPr="00CC2BE2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S</w:t>
      </w:r>
      <w:r w:rsidR="00AC5A6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exual </w:t>
      </w:r>
      <w:r w:rsidRPr="00CC2BE2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A</w:t>
      </w:r>
      <w:r w:rsidR="00AC5A6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ssault </w:t>
      </w:r>
      <w:r w:rsidRPr="00CC2BE2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C</w:t>
      </w:r>
      <w:r w:rsidR="00AC5A6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entral </w:t>
      </w:r>
      <w:r w:rsidRPr="00CC2BE2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V</w:t>
      </w:r>
      <w:r w:rsidR="00AC5A6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ictoria</w:t>
      </w:r>
      <w:r w:rsidRPr="00CC2BE2">
        <w:rPr>
          <w:rFonts w:ascii="Nunito" w:eastAsia="Times New Roman" w:hAnsi="Nunito" w:cs="Arial"/>
          <w:b/>
          <w:bCs/>
          <w:sz w:val="20"/>
          <w:szCs w:val="20"/>
          <w:lang w:eastAsia="en-AU"/>
        </w:rPr>
        <w:t xml:space="preserve"> </w:t>
      </w:r>
    </w:p>
    <w:p w14:paraId="21A5F7AD" w14:textId="77777777" w:rsidR="00CC2BE2" w:rsidRPr="009B5330" w:rsidRDefault="00CC2BE2" w:rsidP="001217CE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</w:p>
    <w:p w14:paraId="2D87BEB7" w14:textId="77777777" w:rsidR="001217CE" w:rsidRPr="00D021F8" w:rsidRDefault="001217CE" w:rsidP="001217CE">
      <w:pPr>
        <w:spacing w:after="0" w:line="240" w:lineRule="auto"/>
        <w:rPr>
          <w:rFonts w:ascii="Nunito" w:eastAsia="Times New Roman" w:hAnsi="Nunito" w:cs="Arial"/>
          <w:b/>
          <w:bCs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b/>
          <w:bCs/>
          <w:sz w:val="20"/>
          <w:szCs w:val="20"/>
          <w:lang w:eastAsia="en-AU"/>
        </w:rPr>
        <w:t xml:space="preserve">Programs &amp; Initiatives </w:t>
      </w:r>
    </w:p>
    <w:p w14:paraId="4BAC2ECC" w14:textId="77777777" w:rsidR="001217CE" w:rsidRPr="00D021F8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sz w:val="20"/>
          <w:szCs w:val="20"/>
          <w:lang w:eastAsia="en-AU"/>
        </w:rPr>
        <w:t xml:space="preserve">Supported Playgroups (DFFH via Local Council) </w:t>
      </w:r>
    </w:p>
    <w:p w14:paraId="2DBA18F9" w14:textId="77777777" w:rsidR="00CC2BE2" w:rsidRPr="00CC2BE2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Children and Young People First Program </w:t>
      </w:r>
    </w:p>
    <w:p w14:paraId="278C2A6B" w14:textId="035D4F5B" w:rsidR="001217CE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sz w:val="20"/>
          <w:szCs w:val="20"/>
          <w:lang w:eastAsia="en-AU"/>
        </w:rPr>
        <w:t>Early Help for Families (DFFH via Anglicare)</w:t>
      </w:r>
    </w:p>
    <w:p w14:paraId="47440A56" w14:textId="77777777" w:rsidR="001217CE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>Orange Door</w:t>
      </w:r>
    </w:p>
    <w:p w14:paraId="184D5951" w14:textId="77777777" w:rsidR="001217CE" w:rsidRPr="00F845C4" w:rsidRDefault="001217CE" w:rsidP="001217CE">
      <w:pPr>
        <w:pStyle w:val="ListParagraph"/>
        <w:numPr>
          <w:ilvl w:val="0"/>
          <w:numId w:val="1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F845C4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Out of Home Care Providers  </w:t>
      </w:r>
    </w:p>
    <w:p w14:paraId="0408448C" w14:textId="77777777" w:rsidR="00CC2BE2" w:rsidRDefault="00CC2BE2" w:rsidP="001217CE">
      <w:pPr>
        <w:spacing w:after="0" w:line="240" w:lineRule="auto"/>
        <w:rPr>
          <w:rFonts w:ascii="Nunito" w:eastAsia="Times New Roman" w:hAnsi="Nunito" w:cs="Arial"/>
          <w:b/>
          <w:bCs/>
          <w:sz w:val="20"/>
          <w:szCs w:val="20"/>
          <w:lang w:eastAsia="en-AU"/>
        </w:rPr>
      </w:pPr>
    </w:p>
    <w:p w14:paraId="6A682442" w14:textId="68619E71" w:rsidR="001217CE" w:rsidRPr="00D021F8" w:rsidRDefault="001217CE" w:rsidP="001217CE">
      <w:pPr>
        <w:spacing w:after="0" w:line="240" w:lineRule="auto"/>
        <w:rPr>
          <w:rFonts w:ascii="Nunito" w:eastAsia="Times New Roman" w:hAnsi="Nunito" w:cs="Arial"/>
          <w:b/>
          <w:bCs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b/>
          <w:bCs/>
          <w:sz w:val="20"/>
          <w:szCs w:val="20"/>
          <w:lang w:eastAsia="en-AU"/>
        </w:rPr>
        <w:t>Community Groups</w:t>
      </w:r>
    </w:p>
    <w:p w14:paraId="3843DBC8" w14:textId="77777777" w:rsidR="001217CE" w:rsidRDefault="001217CE" w:rsidP="001217CE">
      <w:pPr>
        <w:pStyle w:val="ListParagraph"/>
        <w:numPr>
          <w:ilvl w:val="0"/>
          <w:numId w:val="2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>Maryborough Rotary</w:t>
      </w:r>
    </w:p>
    <w:p w14:paraId="1E535F66" w14:textId="77777777" w:rsidR="001217CE" w:rsidRPr="00B20E5E" w:rsidRDefault="001217CE" w:rsidP="001217CE">
      <w:pPr>
        <w:pStyle w:val="ListParagraph"/>
        <w:numPr>
          <w:ilvl w:val="0"/>
          <w:numId w:val="2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>Family Violence Services Development Working Group</w:t>
      </w:r>
    </w:p>
    <w:p w14:paraId="7F7F9A6D" w14:textId="77777777" w:rsidR="001217CE" w:rsidRDefault="001217CE" w:rsidP="001217CE">
      <w:pPr>
        <w:pStyle w:val="ListParagraph"/>
        <w:numPr>
          <w:ilvl w:val="0"/>
          <w:numId w:val="2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sz w:val="20"/>
          <w:szCs w:val="20"/>
          <w:lang w:eastAsia="en-AU"/>
        </w:rPr>
        <w:t>Central Goldfields Aboriginal Engagement Group</w:t>
      </w:r>
    </w:p>
    <w:p w14:paraId="5D5447A6" w14:textId="1467ACEC" w:rsidR="001217CE" w:rsidRPr="00D021F8" w:rsidRDefault="001217CE" w:rsidP="001217CE">
      <w:pPr>
        <w:pStyle w:val="ListParagraph"/>
        <w:numPr>
          <w:ilvl w:val="0"/>
          <w:numId w:val="2"/>
        </w:num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  <w:r>
        <w:rPr>
          <w:rFonts w:ascii="Nunito" w:eastAsia="Times New Roman" w:hAnsi="Nunito" w:cs="Arial"/>
          <w:sz w:val="20"/>
          <w:szCs w:val="20"/>
          <w:lang w:eastAsia="en-AU"/>
        </w:rPr>
        <w:t xml:space="preserve">Community Safety </w:t>
      </w:r>
      <w:r w:rsidR="00CC2BE2">
        <w:rPr>
          <w:rFonts w:ascii="Nunito" w:eastAsia="Times New Roman" w:hAnsi="Nunito" w:cs="Arial"/>
          <w:sz w:val="20"/>
          <w:szCs w:val="20"/>
          <w:lang w:eastAsia="en-AU"/>
        </w:rPr>
        <w:t>Forum</w:t>
      </w:r>
    </w:p>
    <w:p w14:paraId="054D957B" w14:textId="77777777" w:rsidR="001217CE" w:rsidRPr="00D021F8" w:rsidRDefault="001217CE" w:rsidP="001217CE">
      <w:pPr>
        <w:spacing w:after="0" w:line="240" w:lineRule="auto"/>
        <w:rPr>
          <w:rFonts w:ascii="Nunito" w:eastAsia="Times New Roman" w:hAnsi="Nunito" w:cs="Arial"/>
          <w:sz w:val="20"/>
          <w:szCs w:val="20"/>
          <w:lang w:eastAsia="en-AU"/>
        </w:rPr>
      </w:pPr>
    </w:p>
    <w:p w14:paraId="1F194700" w14:textId="77777777" w:rsidR="00157C6A" w:rsidRDefault="001217CE" w:rsidP="00157C6A">
      <w:pPr>
        <w:spacing w:after="0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157C6A">
        <w:rPr>
          <w:rFonts w:ascii="Nunito" w:hAnsi="Nunito"/>
          <w:b/>
          <w:bCs/>
          <w:sz w:val="20"/>
          <w:szCs w:val="20"/>
        </w:rPr>
        <w:t xml:space="preserve">Strategic Policy Environment  </w:t>
      </w:r>
    </w:p>
    <w:p w14:paraId="5C934DB3" w14:textId="77777777" w:rsidR="00157C6A" w:rsidRPr="00157C6A" w:rsidRDefault="001217CE" w:rsidP="00157C6A">
      <w:pPr>
        <w:pStyle w:val="ListParagraph"/>
        <w:numPr>
          <w:ilvl w:val="0"/>
          <w:numId w:val="4"/>
        </w:numPr>
        <w:spacing w:after="0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157C6A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Child Safe Standards</w:t>
      </w:r>
    </w:p>
    <w:p w14:paraId="63DE800C" w14:textId="227E2662" w:rsidR="001B4A2F" w:rsidRPr="00157C6A" w:rsidRDefault="00922AA0" w:rsidP="00157C6A">
      <w:pPr>
        <w:pStyle w:val="ListParagraph"/>
        <w:numPr>
          <w:ilvl w:val="0"/>
          <w:numId w:val="4"/>
        </w:numPr>
        <w:spacing w:after="0"/>
        <w:rPr>
          <w:rFonts w:ascii="Nunito" w:eastAsia="Times New Roman" w:hAnsi="Nunito" w:cs="Arial"/>
          <w:color w:val="000000"/>
          <w:sz w:val="20"/>
          <w:szCs w:val="20"/>
          <w:lang w:eastAsia="en-AU"/>
        </w:rPr>
      </w:pPr>
      <w:r w:rsidRPr="00157C6A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>Child Information Sharing Scheme</w:t>
      </w:r>
      <w:r w:rsidR="001217CE" w:rsidRPr="00157C6A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t xml:space="preserve"> </w:t>
      </w:r>
    </w:p>
    <w:p w14:paraId="57FF3B90" w14:textId="2D16EF13" w:rsidR="00CC2BE2" w:rsidRPr="001B4A2F" w:rsidRDefault="001217CE" w:rsidP="001B4A2F">
      <w:pPr>
        <w:rPr>
          <w:rFonts w:ascii="Nunito" w:eastAsia="Times New Roman" w:hAnsi="Nunito" w:cs="Arial"/>
          <w:sz w:val="20"/>
          <w:szCs w:val="20"/>
          <w:lang w:eastAsia="en-AU"/>
        </w:rPr>
      </w:pPr>
      <w:r w:rsidRPr="00D021F8">
        <w:rPr>
          <w:rFonts w:ascii="Nunito" w:eastAsia="Times New Roman" w:hAnsi="Nunito" w:cs="Arial"/>
          <w:color w:val="000000"/>
          <w:sz w:val="20"/>
          <w:szCs w:val="20"/>
          <w:lang w:eastAsia="en-AU"/>
        </w:rPr>
        <w:br/>
      </w:r>
    </w:p>
    <w:p w14:paraId="328F9417" w14:textId="0D55C581" w:rsidR="001217CE" w:rsidRPr="00D021F8" w:rsidRDefault="001217CE" w:rsidP="001217CE">
      <w:pPr>
        <w:spacing w:after="0" w:line="240" w:lineRule="auto"/>
        <w:rPr>
          <w:rFonts w:ascii="Nunito" w:eastAsia="Times New Roman" w:hAnsi="Nunito" w:cs="Arial"/>
          <w:color w:val="000000"/>
          <w:sz w:val="20"/>
          <w:szCs w:val="20"/>
          <w:lang w:eastAsia="en-AU"/>
        </w:rPr>
        <w:sectPr w:rsidR="001217CE" w:rsidRPr="00D021F8" w:rsidSect="00AC5A68">
          <w:pgSz w:w="16838" w:h="11906" w:orient="landscape"/>
          <w:pgMar w:top="426" w:right="962" w:bottom="709" w:left="1440" w:header="708" w:footer="708" w:gutter="0"/>
          <w:cols w:num="2" w:space="546"/>
          <w:docGrid w:linePitch="360"/>
        </w:sect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09"/>
        <w:gridCol w:w="708"/>
        <w:gridCol w:w="2694"/>
        <w:gridCol w:w="2976"/>
        <w:gridCol w:w="2977"/>
        <w:gridCol w:w="2977"/>
      </w:tblGrid>
      <w:tr w:rsidR="00395104" w:rsidRPr="00D021F8" w14:paraId="301B689F" w14:textId="77777777" w:rsidTr="00B967B4">
        <w:trPr>
          <w:trHeight w:val="315"/>
        </w:trPr>
        <w:tc>
          <w:tcPr>
            <w:tcW w:w="2552" w:type="dxa"/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10987" w14:textId="77777777" w:rsidR="00395104" w:rsidRPr="00D021F8" w:rsidRDefault="00395104" w:rsidP="003006E3">
            <w:pPr>
              <w:spacing w:before="80" w:after="80" w:line="240" w:lineRule="auto"/>
              <w:jc w:val="both"/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</w:pPr>
            <w:r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  <w:lastRenderedPageBreak/>
              <w:t>A</w:t>
            </w:r>
            <w:r w:rsidRPr="00D021F8"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  <w:t>ctivity</w:t>
            </w:r>
          </w:p>
        </w:tc>
        <w:tc>
          <w:tcPr>
            <w:tcW w:w="709" w:type="dxa"/>
            <w:shd w:val="clear" w:color="auto" w:fill="FFC000"/>
          </w:tcPr>
          <w:p w14:paraId="65ACB29F" w14:textId="77777777" w:rsidR="00395104" w:rsidRPr="00D021F8" w:rsidRDefault="00395104" w:rsidP="003006E3">
            <w:pPr>
              <w:spacing w:before="80" w:after="80" w:line="240" w:lineRule="auto"/>
              <w:jc w:val="both"/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</w:pPr>
          </w:p>
        </w:tc>
        <w:tc>
          <w:tcPr>
            <w:tcW w:w="708" w:type="dxa"/>
            <w:shd w:val="clear" w:color="auto" w:fill="FFC000"/>
          </w:tcPr>
          <w:p w14:paraId="7FA0DF01" w14:textId="77777777" w:rsidR="00395104" w:rsidRPr="00D021F8" w:rsidRDefault="00395104" w:rsidP="003006E3">
            <w:pPr>
              <w:spacing w:before="80" w:after="80" w:line="240" w:lineRule="auto"/>
              <w:jc w:val="both"/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</w:pPr>
          </w:p>
        </w:tc>
        <w:tc>
          <w:tcPr>
            <w:tcW w:w="2694" w:type="dxa"/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74B58" w14:textId="072DB5B7" w:rsidR="00395104" w:rsidRPr="00D021F8" w:rsidRDefault="00395104" w:rsidP="003006E3">
            <w:pPr>
              <w:spacing w:before="80" w:after="80" w:line="240" w:lineRule="auto"/>
              <w:jc w:val="both"/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  <w:t>Output</w:t>
            </w:r>
          </w:p>
        </w:tc>
        <w:tc>
          <w:tcPr>
            <w:tcW w:w="2976" w:type="dxa"/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25DDD" w14:textId="77777777" w:rsidR="00395104" w:rsidRPr="00D021F8" w:rsidRDefault="00395104" w:rsidP="003006E3">
            <w:pPr>
              <w:spacing w:before="80" w:after="80" w:line="240" w:lineRule="auto"/>
              <w:jc w:val="both"/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</w:pPr>
            <w:proofErr w:type="gramStart"/>
            <w:r w:rsidRPr="00D021F8"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  <w:t>12 month</w:t>
            </w:r>
            <w:proofErr w:type="gramEnd"/>
            <w:r w:rsidRPr="00D021F8"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  <w:t xml:space="preserve"> outcome</w:t>
            </w:r>
          </w:p>
        </w:tc>
        <w:tc>
          <w:tcPr>
            <w:tcW w:w="2977" w:type="dxa"/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7BA88" w14:textId="77777777" w:rsidR="00395104" w:rsidRPr="00D021F8" w:rsidRDefault="00395104" w:rsidP="003006E3">
            <w:pPr>
              <w:spacing w:before="80" w:after="80" w:line="240" w:lineRule="auto"/>
              <w:jc w:val="both"/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</w:pPr>
            <w:proofErr w:type="gramStart"/>
            <w:r w:rsidRPr="00D021F8"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  <w:t>2 to 5 year</w:t>
            </w:r>
            <w:proofErr w:type="gramEnd"/>
            <w:r w:rsidRPr="00D021F8">
              <w:rPr>
                <w:rFonts w:ascii="Nunito" w:eastAsia="Times New Roman" w:hAnsi="Nunito" w:cs="Arial"/>
                <w:sz w:val="20"/>
                <w:szCs w:val="20"/>
                <w:lang w:eastAsia="en-AU"/>
              </w:rPr>
              <w:t xml:space="preserve"> outcome</w:t>
            </w:r>
          </w:p>
        </w:tc>
        <w:tc>
          <w:tcPr>
            <w:tcW w:w="2977" w:type="dxa"/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BC5AE" w14:textId="77777777" w:rsidR="00395104" w:rsidRPr="00D021F8" w:rsidRDefault="00395104" w:rsidP="003006E3">
            <w:pPr>
              <w:spacing w:before="80" w:after="80" w:line="240" w:lineRule="auto"/>
              <w:jc w:val="both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proofErr w:type="gramStart"/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5 to 10 year</w:t>
            </w:r>
            <w:proofErr w:type="gramEnd"/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 outcome</w:t>
            </w:r>
          </w:p>
        </w:tc>
      </w:tr>
      <w:tr w:rsidR="00395104" w:rsidRPr="00D021F8" w14:paraId="36848177" w14:textId="77777777" w:rsidTr="00B967B4">
        <w:trPr>
          <w:trHeight w:val="315"/>
        </w:trPr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E5F8C" w14:textId="584AD9B0" w:rsidR="00395104" w:rsidRPr="00D021F8" w:rsidRDefault="00F06798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Information session to share learnings on </w:t>
            </w:r>
            <w:r w:rsidR="009F161B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implementing</w:t>
            </w: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395104"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State-wide Child Safe Standards Update</w:t>
            </w:r>
            <w:r w:rsidR="00B967B4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 (Active)</w:t>
            </w:r>
          </w:p>
        </w:tc>
        <w:tc>
          <w:tcPr>
            <w:tcW w:w="709" w:type="dxa"/>
          </w:tcPr>
          <w:p w14:paraId="1CC319C3" w14:textId="77777777" w:rsidR="00395104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14FAC9B9" w14:textId="20BF8766" w:rsidR="00CC32B0" w:rsidRPr="00D021F8" w:rsidRDefault="002A149A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State Govt</w:t>
            </w:r>
          </w:p>
        </w:tc>
        <w:tc>
          <w:tcPr>
            <w:tcW w:w="708" w:type="dxa"/>
          </w:tcPr>
          <w:p w14:paraId="7201DB1A" w14:textId="77777777" w:rsidR="00395104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3DA1C16C" w14:textId="5C0D60B6" w:rsidR="002A149A" w:rsidRDefault="008000AA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Council</w:t>
            </w:r>
          </w:p>
          <w:p w14:paraId="71F8AA1F" w14:textId="2EC89A2D" w:rsidR="0001019D" w:rsidRPr="00D021F8" w:rsidRDefault="0001019D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MDHS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44C32" w14:textId="143FE31E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x of local community organisations informed about the Child Safe Standards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C0383" w14:textId="77777777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Increased awareness of the updated Child Safe Standards 2022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FA144" w14:textId="77777777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Community organisations working with children are compliant with obligations to keep children safe from harm and abuse</w:t>
            </w:r>
          </w:p>
        </w:tc>
        <w:tc>
          <w:tcPr>
            <w:tcW w:w="2977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BA7E1A" w14:textId="77777777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Children living in Goldfields Shire region are safe and can thrive in the community</w:t>
            </w:r>
          </w:p>
        </w:tc>
      </w:tr>
      <w:tr w:rsidR="00395104" w:rsidRPr="00D021F8" w14:paraId="5F913D73" w14:textId="77777777" w:rsidTr="00B967B4">
        <w:trPr>
          <w:trHeight w:val="315"/>
        </w:trPr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A792C" w14:textId="0D7E8B71" w:rsidR="00395104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Shire wide training </w:t>
            </w:r>
            <w:r w:rsidR="009F161B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program </w:t>
            </w: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and </w:t>
            </w:r>
            <w:r w:rsidR="009F161B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development of local </w:t>
            </w: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protocol to support introduction of Child Information Sharing Scheme</w:t>
            </w:r>
          </w:p>
          <w:p w14:paraId="781B971A" w14:textId="4F965878" w:rsidR="00395104" w:rsidRPr="00D021F8" w:rsidRDefault="00B967B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(Pending)</w:t>
            </w:r>
          </w:p>
        </w:tc>
        <w:tc>
          <w:tcPr>
            <w:tcW w:w="709" w:type="dxa"/>
          </w:tcPr>
          <w:p w14:paraId="20C9A7B5" w14:textId="51ECAB68" w:rsidR="00395104" w:rsidRDefault="00B967B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DET</w:t>
            </w:r>
          </w:p>
        </w:tc>
        <w:tc>
          <w:tcPr>
            <w:tcW w:w="708" w:type="dxa"/>
          </w:tcPr>
          <w:p w14:paraId="56C77FB5" w14:textId="500F8F68" w:rsidR="00395104" w:rsidRDefault="00B967B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GG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7DCC9" w14:textId="0F76AC95" w:rsidR="00395104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# of practitioners attending training</w:t>
            </w:r>
          </w:p>
          <w:p w14:paraId="5580BE2D" w14:textId="09AB6FB2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Development of Shire wide protocols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C9665" w14:textId="437C9B86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Increased awareness and how to use the CISS amongst local practitioners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2768F" w14:textId="66E40083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Information regarding children of concern is shared appropriately and effectively between practitioners to ensure their best care</w:t>
            </w:r>
          </w:p>
        </w:tc>
        <w:tc>
          <w:tcPr>
            <w:tcW w:w="2977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B2BEF" w14:textId="7FA61BD2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Children living in Goldfields Shire region are safe and can thrive in the community</w:t>
            </w:r>
          </w:p>
        </w:tc>
      </w:tr>
      <w:tr w:rsidR="00395104" w:rsidRPr="00D021F8" w14:paraId="5AB767A5" w14:textId="77777777" w:rsidTr="00B967B4">
        <w:trPr>
          <w:trHeight w:val="315"/>
        </w:trPr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7FFC4" w14:textId="1D6D4A49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Forum with GPs on 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family violence</w:t>
            </w:r>
            <w:r w:rsidR="008709D0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 (Active)</w:t>
            </w:r>
          </w:p>
          <w:p w14:paraId="70136C78" w14:textId="4778F031" w:rsidR="00434439" w:rsidRPr="009D39A7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Professional development in Trauma informed practice</w:t>
            </w:r>
            <w:r w:rsidR="009D39A7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4A67CC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(</w:t>
            </w:r>
            <w:r w:rsidR="000B0A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Active</w:t>
            </w:r>
            <w:r w:rsidR="004A67CC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)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  <w:t>Orange Door services and referral pathways locally</w:t>
            </w:r>
          </w:p>
          <w:p w14:paraId="1DC575E1" w14:textId="74DC9FC6" w:rsidR="00C95B39" w:rsidRDefault="00C95B39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Community Safe</w:t>
            </w:r>
            <w:r w:rsidR="00A17694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t</w:t>
            </w: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y Network</w:t>
            </w:r>
            <w:r w:rsidR="00A17694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 – Family Violence focus</w:t>
            </w:r>
          </w:p>
          <w:p w14:paraId="0DDBE3B0" w14:textId="178ECC55" w:rsidR="00C95B39" w:rsidRPr="00D021F8" w:rsidRDefault="00434439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16 Days of Activism program for Ce</w:t>
            </w:r>
            <w:r w:rsidR="00C95B39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n</w:t>
            </w: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tral Goldfields</w:t>
            </w:r>
          </w:p>
        </w:tc>
        <w:tc>
          <w:tcPr>
            <w:tcW w:w="709" w:type="dxa"/>
          </w:tcPr>
          <w:p w14:paraId="601A6864" w14:textId="77777777" w:rsidR="00395104" w:rsidRDefault="004A67CC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State Govt</w:t>
            </w:r>
          </w:p>
          <w:p w14:paraId="2690AE95" w14:textId="77777777" w:rsidR="004A67CC" w:rsidRDefault="004A67CC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15382680" w14:textId="46F43091" w:rsidR="004A67CC" w:rsidRDefault="004A67CC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DET</w:t>
            </w:r>
          </w:p>
          <w:p w14:paraId="0750B917" w14:textId="77777777" w:rsidR="004A67CC" w:rsidRDefault="004A67CC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5A17C473" w14:textId="594EEB1D" w:rsidR="00523DA1" w:rsidRDefault="0078002B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DFFH</w:t>
            </w:r>
          </w:p>
          <w:p w14:paraId="39D3A8B7" w14:textId="77777777" w:rsidR="00F21EEF" w:rsidRDefault="00F21EEF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254CBA90" w14:textId="77777777" w:rsidR="00F21EEF" w:rsidRDefault="00F21EEF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Vic Pol</w:t>
            </w:r>
          </w:p>
          <w:p w14:paraId="46A9B327" w14:textId="77777777" w:rsidR="00ED57FD" w:rsidRDefault="00ED57FD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4C2E851D" w14:textId="78F82381" w:rsidR="00ED57FD" w:rsidRPr="00D021F8" w:rsidRDefault="00ED57FD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Council</w:t>
            </w:r>
          </w:p>
        </w:tc>
        <w:tc>
          <w:tcPr>
            <w:tcW w:w="708" w:type="dxa"/>
          </w:tcPr>
          <w:p w14:paraId="5117726B" w14:textId="77777777" w:rsidR="00395104" w:rsidRDefault="004A67CC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GG</w:t>
            </w:r>
          </w:p>
          <w:p w14:paraId="469995BB" w14:textId="77777777" w:rsidR="004A67CC" w:rsidRDefault="004A67CC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53C0CE46" w14:textId="77777777" w:rsidR="00ED57FD" w:rsidRDefault="00ED57FD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4FB5B2F0" w14:textId="08A8EE0B" w:rsidR="004A67CC" w:rsidRDefault="00ED57FD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GG</w:t>
            </w:r>
          </w:p>
          <w:p w14:paraId="4474FB1C" w14:textId="77777777" w:rsidR="009412D9" w:rsidRDefault="009412D9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1376C29D" w14:textId="12FDCDB9" w:rsidR="009412D9" w:rsidRDefault="00ED57FD" w:rsidP="0078002B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MCH</w:t>
            </w:r>
          </w:p>
          <w:p w14:paraId="2F5E5E0E" w14:textId="27E0368E" w:rsidR="006A1E55" w:rsidRPr="00D021F8" w:rsidRDefault="006A1E55" w:rsidP="0078002B">
            <w:pPr>
              <w:spacing w:after="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A967A" w14:textId="78249B15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# of practitioners attend training and professional development opportunities 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  <w:t># of local opportunities provided on identification and support available for children experiencing family and/or sexual violence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BA15B" w14:textId="77777777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Increase in understanding of children's needs and the impact of family and/or sexual violence 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  <w:t>Increased awareness of the referral pathways and support available for families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A1480" w14:textId="77777777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Referrals and supports provided to children that are experiencing family and/or sexual violence are improved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13052" w14:textId="77777777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All children at risk experiencing family and/or sexual violence are identified early are provided support for stable and safe environments </w:t>
            </w:r>
          </w:p>
        </w:tc>
      </w:tr>
      <w:tr w:rsidR="00395104" w:rsidRPr="00D021F8" w14:paraId="75C3A84D" w14:textId="77777777" w:rsidTr="00B967B4">
        <w:trPr>
          <w:trHeight w:val="315"/>
        </w:trPr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69027" w14:textId="3B2D7538" w:rsidR="00395104" w:rsidRDefault="003F76D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Additional </w:t>
            </w:r>
            <w:r w:rsidR="00395104"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Key Ages and Stages Maternal Child Health Appointments </w:t>
            </w: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at 3months</w:t>
            </w:r>
            <w:r w:rsidR="000F3577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 and 2.5 years</w:t>
            </w:r>
          </w:p>
          <w:p w14:paraId="21C3D36F" w14:textId="77777777" w:rsidR="008000AA" w:rsidRDefault="008000AA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585F9267" w14:textId="6F410AE9" w:rsidR="00395104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Implement Brigance assessment for all </w:t>
            </w:r>
            <w:r w:rsidR="00DE7AD5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2</w:t>
            </w:r>
            <w:r w:rsidR="009B01A5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yo</w:t>
            </w:r>
          </w:p>
          <w:p w14:paraId="0AB0B798" w14:textId="77777777" w:rsidR="00395104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  <w:p w14:paraId="0F22D4DC" w14:textId="319B5D83" w:rsidR="00395104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Commence mobile MCH service to surrounding towns.</w:t>
            </w:r>
          </w:p>
          <w:p w14:paraId="49100513" w14:textId="7080900A" w:rsidR="00395104" w:rsidRPr="00D021F8" w:rsidRDefault="00395104" w:rsidP="00A278F1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</w:p>
        </w:tc>
        <w:tc>
          <w:tcPr>
            <w:tcW w:w="709" w:type="dxa"/>
          </w:tcPr>
          <w:p w14:paraId="5F938D3F" w14:textId="07173E37" w:rsidR="00395104" w:rsidRPr="00D021F8" w:rsidRDefault="009412D9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Council &amp; State</w:t>
            </w:r>
          </w:p>
        </w:tc>
        <w:tc>
          <w:tcPr>
            <w:tcW w:w="708" w:type="dxa"/>
          </w:tcPr>
          <w:p w14:paraId="6EDFF39E" w14:textId="21C6B4A9" w:rsidR="00395104" w:rsidRPr="00D021F8" w:rsidRDefault="008000AA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MCH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39C56" w14:textId="59821802" w:rsidR="00395104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# of children attending key ages and stages visit</w:t>
            </w:r>
          </w:p>
          <w:p w14:paraId="094DD5DA" w14:textId="77777777" w:rsidR="00395104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# of Brigance assessments undertaken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  <w:t xml:space="preserve"># of children immunised </w:t>
            </w:r>
          </w:p>
          <w:p w14:paraId="2741C7E1" w14:textId="77777777" w:rsidR="00395104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# of kinders visited</w:t>
            </w:r>
          </w:p>
          <w:p w14:paraId="069F8578" w14:textId="7A62A263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# of mobile MCH town visits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FFEB9" w14:textId="77777777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Increased referrals for early intervention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  <w:t>Children are receiving the vaccinations at the right age and stage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BC68A" w14:textId="77777777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Early detection and referral </w:t>
            </w:r>
            <w:proofErr w:type="gramStart"/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occurs</w:t>
            </w:r>
            <w:proofErr w:type="gramEnd"/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 for developmental and psychosocial outcomes of children and parents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All children complete childhood vaccination schedule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C72F9" w14:textId="77777777" w:rsidR="00395104" w:rsidRPr="00D021F8" w:rsidRDefault="00395104" w:rsidP="003006E3">
            <w:pPr>
              <w:spacing w:before="80" w:after="80" w:line="240" w:lineRule="auto"/>
              <w:rPr>
                <w:rFonts w:ascii="Nunito" w:eastAsia="Times New Roman" w:hAnsi="Nunito" w:cs="Arial"/>
                <w:color w:val="EA4335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Every child in Central Goldfields has the right support in place early to meet developmental milestones and for healthy</w:t>
            </w:r>
          </w:p>
        </w:tc>
      </w:tr>
      <w:tr w:rsidR="00395104" w:rsidRPr="00D021F8" w14:paraId="1877D47B" w14:textId="77777777" w:rsidTr="00B967B4">
        <w:trPr>
          <w:trHeight w:val="315"/>
        </w:trPr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C76C0" w14:textId="2E3CBF6A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lastRenderedPageBreak/>
              <w:t>Council coordinated communications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  <w:t xml:space="preserve">Goldfields Community Festival </w:t>
            </w:r>
          </w:p>
        </w:tc>
        <w:tc>
          <w:tcPr>
            <w:tcW w:w="709" w:type="dxa"/>
          </w:tcPr>
          <w:p w14:paraId="4958357D" w14:textId="77777777" w:rsidR="00395104" w:rsidRDefault="005D014F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CGSC</w:t>
            </w:r>
          </w:p>
          <w:p w14:paraId="661E8646" w14:textId="77777777" w:rsidR="00ED1BD0" w:rsidRDefault="00ED1BD0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1CF8FBDE" w14:textId="77777777" w:rsidR="00ED1BD0" w:rsidRDefault="00ED1BD0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2FF08E33" w14:textId="1D86CEC4" w:rsidR="00ED1BD0" w:rsidRPr="00D021F8" w:rsidRDefault="007131E8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Various</w:t>
            </w:r>
          </w:p>
        </w:tc>
        <w:tc>
          <w:tcPr>
            <w:tcW w:w="708" w:type="dxa"/>
          </w:tcPr>
          <w:p w14:paraId="209B9AC8" w14:textId="354AC706" w:rsidR="00395104" w:rsidRDefault="000F3577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Council</w:t>
            </w:r>
          </w:p>
          <w:p w14:paraId="2FAD9363" w14:textId="77777777" w:rsidR="007131E8" w:rsidRDefault="007131E8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50C1BCFE" w14:textId="77777777" w:rsidR="007131E8" w:rsidRDefault="007131E8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1F182AA8" w14:textId="3F5186EA" w:rsidR="007131E8" w:rsidRPr="00D021F8" w:rsidRDefault="007131E8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GG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4896D" w14:textId="6F431CF7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Produce a </w:t>
            </w:r>
            <w:r w:rsidR="000F3577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termly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 'what's on' in the shire to inform local families</w:t>
            </w:r>
            <w:r w:rsidRPr="00D021F8">
              <w:rPr>
                <w:rFonts w:ascii="Nunito" w:eastAsia="Times New Roman" w:hAnsi="Nunito" w:cs="Arial"/>
                <w:b/>
                <w:bCs/>
                <w:color w:val="EA4335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b/>
                <w:bCs/>
                <w:color w:val="EA4335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A Free Family Fun Community Festival</w:t>
            </w:r>
          </w:p>
        </w:tc>
        <w:tc>
          <w:tcPr>
            <w:tcW w:w="29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7EEA2" w14:textId="77777777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Increased awareness by families of activities available locally for children</w:t>
            </w:r>
          </w:p>
          <w:p w14:paraId="2A19072C" w14:textId="719A9663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 Increased number of activities are</w:t>
            </w:r>
            <w:r w:rsidRPr="00D021F8">
              <w:rPr>
                <w:rFonts w:ascii="Nunito" w:eastAsia="Times New Roman" w:hAnsi="Nunito" w:cs="Arial"/>
                <w:color w:val="FF0000"/>
                <w:sz w:val="18"/>
                <w:szCs w:val="18"/>
                <w:lang w:eastAsia="en-AU"/>
              </w:rPr>
              <w:t xml:space="preserve"> </w:t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available locally for children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4DE08" w14:textId="5288567D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Children have opportunities to be involved and participate in healthy, safe, and free community activities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6917B" w14:textId="536AE36F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Every child in Central Goldfields participates in healthy and safe community activities</w:t>
            </w:r>
          </w:p>
        </w:tc>
      </w:tr>
      <w:tr w:rsidR="00395104" w:rsidRPr="00D021F8" w14:paraId="452F280D" w14:textId="77777777" w:rsidTr="00B967B4">
        <w:trPr>
          <w:trHeight w:val="315"/>
        </w:trPr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F4062" w14:textId="756160B7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Commence Safe4Kids Program </w:t>
            </w:r>
            <w:r w:rsidR="000F3577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(Pending)</w:t>
            </w:r>
          </w:p>
        </w:tc>
        <w:tc>
          <w:tcPr>
            <w:tcW w:w="709" w:type="dxa"/>
          </w:tcPr>
          <w:p w14:paraId="47585CBC" w14:textId="61D5D81A" w:rsidR="00395104" w:rsidRPr="00D021F8" w:rsidRDefault="00ED1BD0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State Govt</w:t>
            </w:r>
          </w:p>
        </w:tc>
        <w:tc>
          <w:tcPr>
            <w:tcW w:w="708" w:type="dxa"/>
          </w:tcPr>
          <w:p w14:paraId="3518F2D5" w14:textId="1EBBCF6F" w:rsidR="00395104" w:rsidRPr="00D021F8" w:rsidRDefault="005D014F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GG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5D74D" w14:textId="361740AD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# of schools and Early Childhood Education centres who participate 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  <w:t># of children who participate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18DCB" w14:textId="77777777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An increased number of children are educated on consent, personal safety and have language to support their needs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9A971" w14:textId="77777777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Children are empowered with strategies and language to speak up on issues of consent 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A64844" w14:textId="77777777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Children are supported to understand their rights and empowered to contribute to the community</w:t>
            </w:r>
          </w:p>
        </w:tc>
      </w:tr>
      <w:tr w:rsidR="00395104" w:rsidRPr="00D021F8" w14:paraId="06BD779D" w14:textId="77777777" w:rsidTr="00B967B4">
        <w:trPr>
          <w:trHeight w:val="315"/>
        </w:trPr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134B2" w14:textId="77777777" w:rsidR="00395104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  <w:p w14:paraId="65068B80" w14:textId="355D520E" w:rsidR="00395104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Develop a Shire wide Play-space strategy</w:t>
            </w:r>
          </w:p>
          <w:p w14:paraId="1332576F" w14:textId="683F7208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09" w:type="dxa"/>
          </w:tcPr>
          <w:p w14:paraId="0CA1980A" w14:textId="45F8ACD3" w:rsidR="00395104" w:rsidRDefault="005D014F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State Govt</w:t>
            </w:r>
          </w:p>
        </w:tc>
        <w:tc>
          <w:tcPr>
            <w:tcW w:w="708" w:type="dxa"/>
          </w:tcPr>
          <w:p w14:paraId="5CF4A39A" w14:textId="57572A25" w:rsidR="00395104" w:rsidRDefault="005D014F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CGSC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AA669" w14:textId="45F4D74E" w:rsidR="00395104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Funding for the strategy secured</w:t>
            </w:r>
          </w:p>
          <w:p w14:paraId="0D510B8E" w14:textId="264F5655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Appointment of consultant to undertake review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4EBF9" w14:textId="77777777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DA1CB" w14:textId="77777777" w:rsidR="00395104" w:rsidRPr="00D021F8" w:rsidRDefault="00395104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44F025" w14:textId="71837685" w:rsidR="00395104" w:rsidRPr="00D021F8" w:rsidRDefault="00ED1BD0" w:rsidP="00CC2BE2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Central Goldfields Shire has safe, welcoming and inclusive play spaces for families</w:t>
            </w:r>
          </w:p>
        </w:tc>
      </w:tr>
      <w:tr w:rsidR="00706304" w:rsidRPr="00D021F8" w14:paraId="3647D612" w14:textId="77777777" w:rsidTr="00B967B4">
        <w:trPr>
          <w:trHeight w:val="315"/>
        </w:trPr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0AF61" w14:textId="1AA7C35C" w:rsidR="00706304" w:rsidRDefault="00706304" w:rsidP="00706304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Promotion and provision of </w:t>
            </w: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 xml:space="preserve">services in the 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consultancy space through The Nest</w:t>
            </w:r>
          </w:p>
        </w:tc>
        <w:tc>
          <w:tcPr>
            <w:tcW w:w="709" w:type="dxa"/>
          </w:tcPr>
          <w:p w14:paraId="6B14F8EC" w14:textId="0E9EF495" w:rsidR="00706304" w:rsidRDefault="00706304" w:rsidP="00706304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State govt</w:t>
            </w:r>
          </w:p>
        </w:tc>
        <w:tc>
          <w:tcPr>
            <w:tcW w:w="708" w:type="dxa"/>
          </w:tcPr>
          <w:p w14:paraId="1E9E6A07" w14:textId="26E17870" w:rsidR="00706304" w:rsidRDefault="00706304" w:rsidP="00706304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GG 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63E6C" w14:textId="0A6277A7" w:rsidR="00706304" w:rsidRDefault="00706304" w:rsidP="00706304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# of specialists programmed into The Nest or consultancy rooms</w:t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</w: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br/>
              <w:t xml:space="preserve"># of participants in programs  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591B3" w14:textId="7E9505A0" w:rsidR="00706304" w:rsidRPr="00D021F8" w:rsidRDefault="00706304" w:rsidP="00706304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 xml:space="preserve">Increased provision of visiting specialist services through The Nest 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D3390D" w14:textId="3605C1AA" w:rsidR="00706304" w:rsidRPr="00D021F8" w:rsidRDefault="00706304" w:rsidP="00706304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  <w:t>Early intervention services and supports are available, timely, and locally provided to support families for early intervention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063F6" w14:textId="15E35806" w:rsidR="00706304" w:rsidRDefault="00706304" w:rsidP="00706304">
            <w:pPr>
              <w:spacing w:before="80" w:after="80" w:line="240" w:lineRule="auto"/>
              <w:rPr>
                <w:rFonts w:ascii="Nunito" w:eastAsia="Times New Roman" w:hAnsi="Nunito" w:cs="Arial"/>
                <w:color w:val="000000"/>
                <w:sz w:val="18"/>
                <w:szCs w:val="18"/>
                <w:lang w:eastAsia="en-AU"/>
              </w:rPr>
            </w:pPr>
            <w:r w:rsidRPr="00D021F8">
              <w:rPr>
                <w:rFonts w:ascii="Nunito" w:eastAsia="Times New Roman" w:hAnsi="Nunito" w:cs="Arial"/>
                <w:sz w:val="18"/>
                <w:szCs w:val="18"/>
                <w:lang w:eastAsia="en-AU"/>
              </w:rPr>
              <w:t>Every child in Central Goldfields has the right support in place early to meet developmental milestones and for healthy</w:t>
            </w:r>
          </w:p>
        </w:tc>
      </w:tr>
    </w:tbl>
    <w:p w14:paraId="02E29525" w14:textId="4980684F" w:rsidR="00CC2BE2" w:rsidRDefault="00CC2BE2"/>
    <w:p w14:paraId="5E2E7D8F" w14:textId="77777777" w:rsidR="00CC2BE2" w:rsidRDefault="00CC2BE2"/>
    <w:sectPr w:rsidR="00CC2BE2" w:rsidSect="001B4A2F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D235B"/>
    <w:multiLevelType w:val="hybridMultilevel"/>
    <w:tmpl w:val="08D09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3672E"/>
    <w:multiLevelType w:val="hybridMultilevel"/>
    <w:tmpl w:val="1EA61260"/>
    <w:lvl w:ilvl="0" w:tplc="C7F800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77E87"/>
    <w:multiLevelType w:val="hybridMultilevel"/>
    <w:tmpl w:val="970AD120"/>
    <w:lvl w:ilvl="0" w:tplc="C7F800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402FF"/>
    <w:multiLevelType w:val="hybridMultilevel"/>
    <w:tmpl w:val="1B667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449574">
    <w:abstractNumId w:val="3"/>
  </w:num>
  <w:num w:numId="2" w16cid:durableId="1852446748">
    <w:abstractNumId w:val="0"/>
  </w:num>
  <w:num w:numId="3" w16cid:durableId="343284372">
    <w:abstractNumId w:val="2"/>
  </w:num>
  <w:num w:numId="4" w16cid:durableId="25613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CE"/>
    <w:rsid w:val="0001019D"/>
    <w:rsid w:val="000B0AF8"/>
    <w:rsid w:val="000F3577"/>
    <w:rsid w:val="001217CE"/>
    <w:rsid w:val="00157C6A"/>
    <w:rsid w:val="001B4A2F"/>
    <w:rsid w:val="0021142E"/>
    <w:rsid w:val="002A149A"/>
    <w:rsid w:val="00395104"/>
    <w:rsid w:val="003F76D4"/>
    <w:rsid w:val="00434439"/>
    <w:rsid w:val="004A67CC"/>
    <w:rsid w:val="00504572"/>
    <w:rsid w:val="00523DA1"/>
    <w:rsid w:val="00564646"/>
    <w:rsid w:val="005D014F"/>
    <w:rsid w:val="006A1E55"/>
    <w:rsid w:val="00706304"/>
    <w:rsid w:val="007131E8"/>
    <w:rsid w:val="00730B66"/>
    <w:rsid w:val="0078002B"/>
    <w:rsid w:val="008000AA"/>
    <w:rsid w:val="008709D0"/>
    <w:rsid w:val="00922AA0"/>
    <w:rsid w:val="009412D9"/>
    <w:rsid w:val="009918E0"/>
    <w:rsid w:val="009B01A5"/>
    <w:rsid w:val="009D39A7"/>
    <w:rsid w:val="009F161B"/>
    <w:rsid w:val="00A17694"/>
    <w:rsid w:val="00A278F1"/>
    <w:rsid w:val="00AA4631"/>
    <w:rsid w:val="00AC5A68"/>
    <w:rsid w:val="00B967B4"/>
    <w:rsid w:val="00C95B39"/>
    <w:rsid w:val="00CC2BE2"/>
    <w:rsid w:val="00CC32B0"/>
    <w:rsid w:val="00CD7506"/>
    <w:rsid w:val="00DE7AD5"/>
    <w:rsid w:val="00E63B12"/>
    <w:rsid w:val="00E72CB6"/>
    <w:rsid w:val="00E9242A"/>
    <w:rsid w:val="00ED1BD0"/>
    <w:rsid w:val="00ED57FD"/>
    <w:rsid w:val="00F06798"/>
    <w:rsid w:val="00F21EEF"/>
    <w:rsid w:val="00F3664D"/>
    <w:rsid w:val="00F9389E"/>
    <w:rsid w:val="13CCD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E598"/>
  <w15:chartTrackingRefBased/>
  <w15:docId w15:val="{D3115591-4B8A-4AA0-950A-5C3E5E6B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Bartholomeusz</dc:creator>
  <cp:keywords/>
  <dc:description/>
  <cp:lastModifiedBy>Carolyn Bartholomeusz</cp:lastModifiedBy>
  <cp:revision>2</cp:revision>
  <cp:lastPrinted>2022-08-02T04:29:00Z</cp:lastPrinted>
  <dcterms:created xsi:type="dcterms:W3CDTF">2024-11-25T23:55:00Z</dcterms:created>
  <dcterms:modified xsi:type="dcterms:W3CDTF">2024-11-25T23:55:00Z</dcterms:modified>
</cp:coreProperties>
</file>