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019C" w14:textId="77777777" w:rsidR="005C4927" w:rsidRDefault="005C4927" w:rsidP="005C4927">
      <w:pPr>
        <w:rPr>
          <w:b/>
          <w:bCs/>
          <w:sz w:val="32"/>
          <w:szCs w:val="32"/>
        </w:rPr>
      </w:pPr>
      <w:r w:rsidRPr="00862572">
        <w:rPr>
          <w:b/>
          <w:bCs/>
          <w:sz w:val="32"/>
          <w:szCs w:val="32"/>
        </w:rPr>
        <w:t>CONFIDENT AND CONNECTED NEW PARENTS WORKSHOP</w:t>
      </w:r>
    </w:p>
    <w:p w14:paraId="1DCB89CD" w14:textId="77777777" w:rsidR="005C4927" w:rsidRDefault="005C4927" w:rsidP="005C4927">
      <w:pPr>
        <w:rPr>
          <w:b/>
          <w:bCs/>
          <w:sz w:val="32"/>
          <w:szCs w:val="32"/>
        </w:rPr>
      </w:pPr>
      <w:r>
        <w:rPr>
          <w:b/>
          <w:bCs/>
          <w:sz w:val="32"/>
          <w:szCs w:val="32"/>
        </w:rPr>
        <w:t>Tuesday 29</w:t>
      </w:r>
      <w:r w:rsidRPr="00862572">
        <w:rPr>
          <w:b/>
          <w:bCs/>
          <w:sz w:val="32"/>
          <w:szCs w:val="32"/>
          <w:vertAlign w:val="superscript"/>
        </w:rPr>
        <w:t>th</w:t>
      </w:r>
      <w:r>
        <w:rPr>
          <w:b/>
          <w:bCs/>
          <w:sz w:val="32"/>
          <w:szCs w:val="32"/>
        </w:rPr>
        <w:t xml:space="preserve"> June 2021</w:t>
      </w:r>
    </w:p>
    <w:p w14:paraId="247245EE" w14:textId="77777777" w:rsidR="005C4927" w:rsidRDefault="005C4927" w:rsidP="005C4927">
      <w:pPr>
        <w:rPr>
          <w:b/>
          <w:bCs/>
          <w:sz w:val="32"/>
          <w:szCs w:val="32"/>
        </w:rPr>
      </w:pPr>
      <w:r>
        <w:rPr>
          <w:b/>
          <w:bCs/>
          <w:sz w:val="32"/>
          <w:szCs w:val="32"/>
        </w:rPr>
        <w:t>OVERVIEW</w:t>
      </w:r>
    </w:p>
    <w:p w14:paraId="4EF187BD" w14:textId="77777777" w:rsidR="005C4927" w:rsidRPr="00BB1C98" w:rsidRDefault="005C4927" w:rsidP="005C4927">
      <w:pPr>
        <w:rPr>
          <w:color w:val="FF0000"/>
        </w:rPr>
      </w:pPr>
      <w:r w:rsidRPr="00BB1C98">
        <w:t xml:space="preserve">Connected and Confident New Parents is one of the 5 Go Goldfields </w:t>
      </w:r>
      <w:r>
        <w:t xml:space="preserve">Every Child, Every Chance </w:t>
      </w:r>
      <w:r w:rsidRPr="00BB1C98">
        <w:t xml:space="preserve">change areas. </w:t>
      </w:r>
    </w:p>
    <w:p w14:paraId="22F1340E" w14:textId="77777777" w:rsidR="005C4927" w:rsidRPr="00BB1C98" w:rsidRDefault="005C4927" w:rsidP="005C4927">
      <w:pPr>
        <w:pStyle w:val="ListParagraph"/>
        <w:numPr>
          <w:ilvl w:val="0"/>
          <w:numId w:val="17"/>
        </w:numPr>
      </w:pPr>
      <w:r w:rsidRPr="00BB1C98">
        <w:t>Healthy and supported pregnancies</w:t>
      </w:r>
    </w:p>
    <w:p w14:paraId="1A66C120" w14:textId="77777777" w:rsidR="005C4927" w:rsidRPr="00BB1C98" w:rsidRDefault="005C4927" w:rsidP="005C4927">
      <w:pPr>
        <w:pStyle w:val="ListParagraph"/>
        <w:numPr>
          <w:ilvl w:val="0"/>
          <w:numId w:val="17"/>
        </w:numPr>
        <w:rPr>
          <w:color w:val="C45911" w:themeColor="accent2" w:themeShade="BF"/>
        </w:rPr>
      </w:pPr>
      <w:r w:rsidRPr="00BB1C98">
        <w:rPr>
          <w:color w:val="C45911" w:themeColor="accent2" w:themeShade="BF"/>
        </w:rPr>
        <w:t>Confident and connected new parents</w:t>
      </w:r>
    </w:p>
    <w:p w14:paraId="730B9967" w14:textId="77777777" w:rsidR="005C4927" w:rsidRPr="00BB1C98" w:rsidRDefault="005C4927" w:rsidP="005C4927">
      <w:pPr>
        <w:pStyle w:val="ListParagraph"/>
        <w:numPr>
          <w:ilvl w:val="0"/>
          <w:numId w:val="17"/>
        </w:numPr>
      </w:pPr>
      <w:r w:rsidRPr="00BB1C98">
        <w:t>Safe and secure children</w:t>
      </w:r>
    </w:p>
    <w:p w14:paraId="1F08E7C6" w14:textId="175C1FCD" w:rsidR="005C4927" w:rsidRPr="00BB1C98" w:rsidRDefault="005C4927" w:rsidP="005C4927">
      <w:pPr>
        <w:pStyle w:val="ListParagraph"/>
        <w:numPr>
          <w:ilvl w:val="0"/>
          <w:numId w:val="17"/>
        </w:numPr>
      </w:pPr>
      <w:r>
        <w:t>Valued</w:t>
      </w:r>
      <w:r w:rsidRPr="00BB1C98">
        <w:t xml:space="preserve"> early years education and care</w:t>
      </w:r>
    </w:p>
    <w:p w14:paraId="33B06B60" w14:textId="45C2E5A0" w:rsidR="005C4927" w:rsidRPr="00BB1C98" w:rsidRDefault="005C4927" w:rsidP="005C4927">
      <w:pPr>
        <w:pStyle w:val="ListParagraph"/>
        <w:numPr>
          <w:ilvl w:val="0"/>
          <w:numId w:val="17"/>
        </w:numPr>
      </w:pPr>
      <w:r w:rsidRPr="00BB1C98">
        <w:t>Great start to school</w:t>
      </w:r>
      <w:r>
        <w:t xml:space="preserve"> for all kids</w:t>
      </w:r>
    </w:p>
    <w:p w14:paraId="1214108E" w14:textId="073CBD2A" w:rsidR="005C4927" w:rsidRPr="00BB1C98" w:rsidRDefault="005C4927" w:rsidP="005C4927">
      <w:r w:rsidRPr="00BB1C98">
        <w:t xml:space="preserve">These 5 areas are intrinsically linked and together contribute to the overall vision of </w:t>
      </w:r>
      <w:r>
        <w:t xml:space="preserve">ensuring </w:t>
      </w:r>
      <w:r w:rsidRPr="005C4927">
        <w:rPr>
          <w:u w:val="single"/>
        </w:rPr>
        <w:t>Every Child</w:t>
      </w:r>
      <w:r>
        <w:t xml:space="preserve"> in Central Goldfields Shire, has </w:t>
      </w:r>
      <w:r w:rsidRPr="005C4927">
        <w:rPr>
          <w:u w:val="single"/>
        </w:rPr>
        <w:t>Every Chance</w:t>
      </w:r>
      <w:r>
        <w:t xml:space="preserve"> to grow up healthy, safe and confident.</w:t>
      </w:r>
    </w:p>
    <w:p w14:paraId="26CBC06C" w14:textId="77777777" w:rsidR="005C4927" w:rsidRDefault="005C4927" w:rsidP="005C4927">
      <w:pPr>
        <w:spacing w:line="240" w:lineRule="auto"/>
      </w:pPr>
      <w:r>
        <w:t>Confident and Connected New Parents priority area is primarily focused on</w:t>
      </w:r>
      <w:r w:rsidRPr="00BB1C98">
        <w:t xml:space="preserve"> families with children up to the age of three.</w:t>
      </w:r>
    </w:p>
    <w:p w14:paraId="71A1C8D9" w14:textId="77777777" w:rsidR="005C4927" w:rsidRDefault="005C4927" w:rsidP="005C4927">
      <w:r w:rsidRPr="00BB1C98">
        <w:t>This workshop brings together key and influential stakeholders /partners willing to develop a shared vision for this specific area, identify gaps and develop collaboratively projects.</w:t>
      </w:r>
    </w:p>
    <w:p w14:paraId="66A30FF6" w14:textId="77777777" w:rsidR="005C4927" w:rsidRPr="00BB1C98" w:rsidRDefault="005C4927" w:rsidP="005C4927">
      <w:pPr>
        <w:rPr>
          <w:bCs/>
        </w:rPr>
      </w:pPr>
      <w:r>
        <w:rPr>
          <w:bCs/>
        </w:rPr>
        <w:t>The u</w:t>
      </w:r>
      <w:r w:rsidRPr="00BB1C98">
        <w:rPr>
          <w:bCs/>
        </w:rPr>
        <w:t>nderpinning principles of work in Every Child Every Chance Priority Areas</w:t>
      </w:r>
      <w:r>
        <w:rPr>
          <w:bCs/>
        </w:rPr>
        <w:t xml:space="preserve"> are:</w:t>
      </w:r>
    </w:p>
    <w:p w14:paraId="18A83633" w14:textId="77777777" w:rsidR="005C4927" w:rsidRPr="00BB1C98" w:rsidRDefault="005C4927" w:rsidP="005C4927">
      <w:pPr>
        <w:pStyle w:val="ListParagraph"/>
        <w:numPr>
          <w:ilvl w:val="0"/>
          <w:numId w:val="18"/>
        </w:numPr>
        <w:spacing w:after="0" w:line="240" w:lineRule="auto"/>
        <w:ind w:left="470" w:hanging="357"/>
        <w:contextualSpacing w:val="0"/>
      </w:pPr>
      <w:r w:rsidRPr="00BB1C98">
        <w:t>Engage with our community</w:t>
      </w:r>
    </w:p>
    <w:p w14:paraId="0833F03D" w14:textId="77777777" w:rsidR="005C4927" w:rsidRPr="00BB1C98" w:rsidRDefault="005C4927" w:rsidP="005C4927">
      <w:pPr>
        <w:pStyle w:val="ListParagraph"/>
        <w:numPr>
          <w:ilvl w:val="0"/>
          <w:numId w:val="18"/>
        </w:numPr>
        <w:spacing w:after="0" w:line="240" w:lineRule="auto"/>
        <w:ind w:left="470" w:hanging="357"/>
        <w:contextualSpacing w:val="0"/>
      </w:pPr>
      <w:r w:rsidRPr="00BB1C98">
        <w:t>Robust evidence and data inform our work</w:t>
      </w:r>
    </w:p>
    <w:p w14:paraId="4B93FFFE" w14:textId="77777777" w:rsidR="005C4927" w:rsidRPr="00BB1C98" w:rsidRDefault="005C4927" w:rsidP="005C4927">
      <w:pPr>
        <w:pStyle w:val="ListParagraph"/>
        <w:numPr>
          <w:ilvl w:val="0"/>
          <w:numId w:val="18"/>
        </w:numPr>
        <w:spacing w:after="0" w:line="240" w:lineRule="auto"/>
        <w:ind w:left="470" w:hanging="357"/>
        <w:contextualSpacing w:val="0"/>
      </w:pPr>
      <w:r w:rsidRPr="00BB1C98">
        <w:t>People with lived experience co-designing solutions</w:t>
      </w:r>
    </w:p>
    <w:p w14:paraId="07D09715" w14:textId="77777777" w:rsidR="005C4927" w:rsidRPr="00BB1C98" w:rsidRDefault="005C4927" w:rsidP="005C4927">
      <w:pPr>
        <w:pStyle w:val="ListParagraph"/>
        <w:numPr>
          <w:ilvl w:val="0"/>
          <w:numId w:val="18"/>
        </w:numPr>
        <w:spacing w:after="0" w:line="240" w:lineRule="auto"/>
        <w:ind w:left="470" w:hanging="357"/>
        <w:contextualSpacing w:val="0"/>
      </w:pPr>
      <w:r w:rsidRPr="00BB1C98">
        <w:t>Partnerships increase impact</w:t>
      </w:r>
    </w:p>
    <w:p w14:paraId="6840B201" w14:textId="77777777" w:rsidR="005C4927" w:rsidRPr="00BB1C98" w:rsidRDefault="005C4927" w:rsidP="005C4927">
      <w:pPr>
        <w:pStyle w:val="ListParagraph"/>
        <w:numPr>
          <w:ilvl w:val="0"/>
          <w:numId w:val="18"/>
        </w:numPr>
        <w:spacing w:after="0" w:line="240" w:lineRule="auto"/>
        <w:ind w:left="470" w:hanging="357"/>
        <w:contextualSpacing w:val="0"/>
      </w:pPr>
      <w:r w:rsidRPr="00BB1C98">
        <w:t xml:space="preserve">Activities are respectful and culturally safe </w:t>
      </w:r>
    </w:p>
    <w:p w14:paraId="14F9C51B" w14:textId="77777777" w:rsidR="005C4927" w:rsidRDefault="005C4927" w:rsidP="005C4927">
      <w:pPr>
        <w:pStyle w:val="ListParagraph"/>
        <w:numPr>
          <w:ilvl w:val="0"/>
          <w:numId w:val="18"/>
        </w:numPr>
        <w:spacing w:after="0" w:line="240" w:lineRule="auto"/>
        <w:ind w:left="470" w:hanging="357"/>
        <w:contextualSpacing w:val="0"/>
      </w:pPr>
      <w:r w:rsidRPr="00BB1C98">
        <w:t>Empathy for the life experiences of others</w:t>
      </w:r>
    </w:p>
    <w:p w14:paraId="4D0B5022" w14:textId="77777777" w:rsidR="005C4927" w:rsidRDefault="005C4927" w:rsidP="005C4927">
      <w:pPr>
        <w:pStyle w:val="ListParagraph"/>
        <w:spacing w:after="0" w:line="240" w:lineRule="auto"/>
        <w:ind w:left="470"/>
        <w:contextualSpacing w:val="0"/>
      </w:pPr>
    </w:p>
    <w:p w14:paraId="460E1273" w14:textId="1B1E1EA4" w:rsidR="005C4927" w:rsidRPr="00BB1C98" w:rsidRDefault="005C4927" w:rsidP="005C4927">
      <w:r>
        <w:t xml:space="preserve">Partnerships, like any good relationship require honesty, trust and open and on-going communication. </w:t>
      </w:r>
      <w:r w:rsidR="00055ABB">
        <w:t>Partners w</w:t>
      </w:r>
      <w:r w:rsidRPr="00BB1C98">
        <w:t>ork collaboratively to plan</w:t>
      </w:r>
      <w:r>
        <w:t>,</w:t>
      </w:r>
      <w:r w:rsidRPr="00BB1C98">
        <w:t xml:space="preserve"> gather</w:t>
      </w:r>
      <w:r>
        <w:t xml:space="preserve"> data and </w:t>
      </w:r>
      <w:r w:rsidRPr="00BB1C98">
        <w:t>evalu</w:t>
      </w:r>
      <w:r>
        <w:t>ate strengthens our capacity to deliver outcomes and attract fun</w:t>
      </w:r>
      <w:r w:rsidRPr="00BB1C98">
        <w:t>ding</w:t>
      </w:r>
      <w:r w:rsidR="004E05C6">
        <w:t>.</w:t>
      </w:r>
    </w:p>
    <w:p w14:paraId="24E6A769" w14:textId="77777777" w:rsidR="005C4927" w:rsidRPr="00BB1C98" w:rsidRDefault="005C4927" w:rsidP="005C4927">
      <w:r w:rsidRPr="00BB1C98">
        <w:t xml:space="preserve">The following data and </w:t>
      </w:r>
      <w:r>
        <w:t>research areas presented</w:t>
      </w:r>
      <w:r w:rsidRPr="00BB1C98">
        <w:t xml:space="preserve"> will </w:t>
      </w:r>
      <w:r>
        <w:t>guide</w:t>
      </w:r>
      <w:r w:rsidRPr="00BB1C98">
        <w:t xml:space="preserve"> and support the direction of this group </w:t>
      </w:r>
    </w:p>
    <w:p w14:paraId="3FB1349F" w14:textId="77777777" w:rsidR="005C4927" w:rsidRPr="00BB1C98" w:rsidRDefault="005C4927" w:rsidP="005C4927">
      <w:pPr>
        <w:pStyle w:val="ListParagraph"/>
        <w:numPr>
          <w:ilvl w:val="0"/>
          <w:numId w:val="19"/>
        </w:numPr>
      </w:pPr>
      <w:r w:rsidRPr="00BB1C98">
        <w:t xml:space="preserve">Evidence from best practice research coming from our peak bodies </w:t>
      </w:r>
    </w:p>
    <w:p w14:paraId="0C3C8A90" w14:textId="77777777" w:rsidR="005C4927" w:rsidRPr="00BB1C98" w:rsidRDefault="005C4927" w:rsidP="005C4927">
      <w:pPr>
        <w:pStyle w:val="ListParagraph"/>
        <w:numPr>
          <w:ilvl w:val="0"/>
          <w:numId w:val="19"/>
        </w:numPr>
      </w:pPr>
      <w:r w:rsidRPr="00BB1C98">
        <w:t>Specific Central Goldfields data</w:t>
      </w:r>
    </w:p>
    <w:p w14:paraId="099C5EC7" w14:textId="77777777" w:rsidR="005C4927" w:rsidRPr="00BB1C98" w:rsidRDefault="005C4927" w:rsidP="005C4927">
      <w:pPr>
        <w:pStyle w:val="ListParagraph"/>
        <w:numPr>
          <w:ilvl w:val="0"/>
          <w:numId w:val="19"/>
        </w:numPr>
      </w:pPr>
      <w:r w:rsidRPr="00BB1C98">
        <w:t>Our community voice / local consultations</w:t>
      </w:r>
    </w:p>
    <w:p w14:paraId="4EECAF11" w14:textId="77777777" w:rsidR="005C4927" w:rsidRPr="00BB1C98" w:rsidRDefault="005C4927" w:rsidP="005C4927">
      <w:pPr>
        <w:pStyle w:val="ListParagraph"/>
        <w:numPr>
          <w:ilvl w:val="0"/>
          <w:numId w:val="19"/>
        </w:numPr>
      </w:pPr>
      <w:r w:rsidRPr="00BB1C98">
        <w:t>First Nations considerations</w:t>
      </w:r>
    </w:p>
    <w:p w14:paraId="6904F08C" w14:textId="77777777" w:rsidR="005C4927" w:rsidRPr="00BB1C98" w:rsidRDefault="005C4927" w:rsidP="005C4927">
      <w:r w:rsidRPr="00BB1C98">
        <w:t xml:space="preserve">Considering this information, 4 </w:t>
      </w:r>
      <w:r>
        <w:t xml:space="preserve">major themes </w:t>
      </w:r>
      <w:r w:rsidRPr="00BB1C98">
        <w:t>emerge. Broadly these include the importance of:</w:t>
      </w:r>
    </w:p>
    <w:p w14:paraId="7D8D0EBC" w14:textId="77777777" w:rsidR="005C4927" w:rsidRPr="00BB1C98" w:rsidRDefault="005C4927" w:rsidP="005C4927">
      <w:pPr>
        <w:pStyle w:val="ListParagraph"/>
        <w:numPr>
          <w:ilvl w:val="0"/>
          <w:numId w:val="20"/>
        </w:numPr>
      </w:pPr>
      <w:r w:rsidRPr="00BB1C98">
        <w:t>Social Connection with other parents and the community</w:t>
      </w:r>
      <w:r>
        <w:t>.</w:t>
      </w:r>
    </w:p>
    <w:p w14:paraId="277B475F" w14:textId="77777777" w:rsidR="005C4927" w:rsidRPr="00BB1C98" w:rsidRDefault="005C4927" w:rsidP="005C4927">
      <w:pPr>
        <w:pStyle w:val="ListParagraph"/>
        <w:numPr>
          <w:ilvl w:val="0"/>
          <w:numId w:val="20"/>
        </w:numPr>
      </w:pPr>
      <w:r w:rsidRPr="00BB1C98">
        <w:t>Access to excellent services that are genuinely flexible in their delivery</w:t>
      </w:r>
      <w:r>
        <w:t>.</w:t>
      </w:r>
    </w:p>
    <w:p w14:paraId="3F6DD1C4" w14:textId="77777777" w:rsidR="005C4927" w:rsidRPr="00BB1C98" w:rsidRDefault="005C4927" w:rsidP="005C4927">
      <w:pPr>
        <w:pStyle w:val="ListParagraph"/>
        <w:numPr>
          <w:ilvl w:val="0"/>
          <w:numId w:val="20"/>
        </w:numPr>
      </w:pPr>
      <w:r>
        <w:t>Sustainable outcomes with capability building can only be achieved by deliberately and actively engaging families/parents</w:t>
      </w:r>
      <w:r w:rsidRPr="00BB1C98">
        <w:t xml:space="preserve"> in</w:t>
      </w:r>
      <w:r>
        <w:t xml:space="preserve"> decision making, </w:t>
      </w:r>
      <w:r w:rsidRPr="00BB1C98">
        <w:t>planning and delivery of services</w:t>
      </w:r>
      <w:r>
        <w:t xml:space="preserve">. </w:t>
      </w:r>
    </w:p>
    <w:p w14:paraId="73152644" w14:textId="77777777" w:rsidR="005C4927" w:rsidRPr="00BB1C98" w:rsidRDefault="005C4927" w:rsidP="005C4927">
      <w:pPr>
        <w:pStyle w:val="ListParagraph"/>
        <w:numPr>
          <w:ilvl w:val="0"/>
          <w:numId w:val="20"/>
        </w:numPr>
      </w:pPr>
      <w:r w:rsidRPr="00BB1C98">
        <w:t>A linked service system that talks to each other and promote</w:t>
      </w:r>
      <w:r>
        <w:t>s</w:t>
      </w:r>
      <w:r w:rsidRPr="00BB1C98">
        <w:t xml:space="preserve"> a whole of continuum approach</w:t>
      </w:r>
      <w:r>
        <w:t>.</w:t>
      </w:r>
    </w:p>
    <w:p w14:paraId="5F867F07" w14:textId="766D60DF" w:rsidR="002653F8" w:rsidRPr="006C2311" w:rsidRDefault="00A23F5D" w:rsidP="006C2311">
      <w:pPr>
        <w:rPr>
          <w:b/>
          <w:sz w:val="32"/>
          <w:szCs w:val="32"/>
        </w:rPr>
      </w:pPr>
      <w:r w:rsidRPr="006C2311">
        <w:rPr>
          <w:b/>
          <w:sz w:val="32"/>
          <w:szCs w:val="32"/>
        </w:rPr>
        <w:lastRenderedPageBreak/>
        <w:t xml:space="preserve">CONFIDENT AND CONNECTED </w:t>
      </w:r>
      <w:r w:rsidR="006C2311">
        <w:rPr>
          <w:b/>
          <w:sz w:val="32"/>
          <w:szCs w:val="32"/>
        </w:rPr>
        <w:t xml:space="preserve">NEW </w:t>
      </w:r>
      <w:r w:rsidRPr="006C2311">
        <w:rPr>
          <w:b/>
          <w:sz w:val="32"/>
          <w:szCs w:val="32"/>
        </w:rPr>
        <w:t>PARENT</w:t>
      </w:r>
      <w:r w:rsidR="006C2311">
        <w:rPr>
          <w:b/>
          <w:sz w:val="32"/>
          <w:szCs w:val="32"/>
        </w:rPr>
        <w:t>S</w:t>
      </w:r>
    </w:p>
    <w:p w14:paraId="45C414D9" w14:textId="2DABD589" w:rsidR="00A23F5D" w:rsidRPr="006C2311" w:rsidRDefault="006C2311" w:rsidP="006C2311">
      <w:pPr>
        <w:rPr>
          <w:b/>
          <w:sz w:val="32"/>
          <w:szCs w:val="32"/>
        </w:rPr>
      </w:pPr>
      <w:r>
        <w:rPr>
          <w:b/>
          <w:sz w:val="32"/>
          <w:szCs w:val="32"/>
        </w:rPr>
        <w:t>R</w:t>
      </w:r>
      <w:r w:rsidR="00A23F5D" w:rsidRPr="006C2311">
        <w:rPr>
          <w:b/>
          <w:sz w:val="32"/>
          <w:szCs w:val="32"/>
        </w:rPr>
        <w:t>esearch and Data Mapping</w:t>
      </w:r>
    </w:p>
    <w:p w14:paraId="158D4090" w14:textId="437BBD05" w:rsidR="006C2311" w:rsidRDefault="006C2311" w:rsidP="006C2311">
      <w:pPr>
        <w:pStyle w:val="ListParagraph"/>
        <w:numPr>
          <w:ilvl w:val="0"/>
          <w:numId w:val="16"/>
        </w:numPr>
        <w:rPr>
          <w:b/>
          <w:bCs/>
          <w:sz w:val="28"/>
          <w:szCs w:val="28"/>
        </w:rPr>
      </w:pPr>
      <w:r w:rsidRPr="006C2311">
        <w:rPr>
          <w:b/>
          <w:bCs/>
          <w:sz w:val="28"/>
          <w:szCs w:val="28"/>
        </w:rPr>
        <w:t>INFLUENTIAL RESEARCH</w:t>
      </w:r>
    </w:p>
    <w:p w14:paraId="7D0F5263" w14:textId="77777777" w:rsidR="006C2311" w:rsidRPr="006C2311" w:rsidRDefault="006C2311" w:rsidP="006C2311">
      <w:pPr>
        <w:pStyle w:val="ListParagraph"/>
        <w:rPr>
          <w:b/>
          <w:bCs/>
          <w:sz w:val="28"/>
          <w:szCs w:val="28"/>
        </w:rPr>
      </w:pPr>
    </w:p>
    <w:p w14:paraId="7514CE3E" w14:textId="77777777" w:rsidR="006C2311" w:rsidRDefault="006C2311" w:rsidP="006C2311">
      <w:pPr>
        <w:spacing w:after="0"/>
        <w:rPr>
          <w:b/>
        </w:rPr>
      </w:pPr>
      <w:r>
        <w:rPr>
          <w:b/>
        </w:rPr>
        <w:t xml:space="preserve">CENTRE FOR COMMUNITY CHILD HEALTH (CCCH) AND </w:t>
      </w:r>
    </w:p>
    <w:p w14:paraId="024E8A2E" w14:textId="611A8F11" w:rsidR="006C2311" w:rsidRDefault="006C2311" w:rsidP="006C2311">
      <w:pPr>
        <w:spacing w:after="0"/>
        <w:rPr>
          <w:rFonts w:cstheme="minorHAnsi"/>
          <w:b/>
        </w:rPr>
      </w:pPr>
      <w:r>
        <w:rPr>
          <w:b/>
        </w:rPr>
        <w:t xml:space="preserve">AUSTRALIAN RESEARCH ALLIANCE FOR </w:t>
      </w:r>
      <w:r w:rsidRPr="00542CD5">
        <w:rPr>
          <w:rFonts w:cstheme="minorHAnsi"/>
          <w:b/>
        </w:rPr>
        <w:t>CHILDREN AND YOUNG PEOPLE (ARACY)</w:t>
      </w:r>
    </w:p>
    <w:p w14:paraId="52EF5AD0" w14:textId="4FD89D8B" w:rsidR="006C2311" w:rsidRDefault="006C2311" w:rsidP="006C2311">
      <w:pPr>
        <w:spacing w:after="0"/>
        <w:rPr>
          <w:rFonts w:cstheme="minorHAnsi"/>
          <w:b/>
        </w:rPr>
      </w:pPr>
    </w:p>
    <w:p w14:paraId="4420C7D2" w14:textId="77777777" w:rsidR="006C2311" w:rsidRPr="00542CD5" w:rsidRDefault="006C2311" w:rsidP="006C2311">
      <w:pPr>
        <w:spacing w:after="0"/>
        <w:rPr>
          <w:rFonts w:cstheme="minorHAnsi"/>
          <w:b/>
        </w:rPr>
      </w:pPr>
    </w:p>
    <w:p w14:paraId="1A17B40C" w14:textId="77777777" w:rsidR="006C2311" w:rsidRPr="00542CD5" w:rsidRDefault="006C2311" w:rsidP="006C2311">
      <w:pPr>
        <w:rPr>
          <w:rFonts w:cstheme="minorHAnsi"/>
        </w:rPr>
      </w:pPr>
      <w:r w:rsidRPr="00542CD5">
        <w:rPr>
          <w:rFonts w:cstheme="minorHAnsi"/>
          <w:b/>
          <w:bCs/>
        </w:rPr>
        <w:t>“The First Thousand Days – The evidence paper 2017” acknowledges:</w:t>
      </w:r>
    </w:p>
    <w:p w14:paraId="1A62DFB8"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The recent and growing focus on the first 1000 days is due to an amounting body of evidence which shows the significance of environments and experiences during this period.</w:t>
      </w:r>
    </w:p>
    <w:p w14:paraId="5E2D5887"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The impact of early experiences affects all aspects of development and functioning, including health and wellbeing, mental health, social functioning, and cognitive development.</w:t>
      </w:r>
    </w:p>
    <w:p w14:paraId="0CAA2636"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What is ‘learned’ in the prenatal and first two to three years of life has potentially profound consequences throughout the life course. Many challenges faced by adults, such as mental health issues, obesity, heart disease, criminality, and poor literacy and numeracy, can be traced back to pathways that originated in early childhood.</w:t>
      </w:r>
    </w:p>
    <w:p w14:paraId="3B64685F" w14:textId="389E9377" w:rsidR="006C2311" w:rsidRDefault="006C2311" w:rsidP="006C2311">
      <w:pPr>
        <w:ind w:left="720" w:hanging="720"/>
        <w:rPr>
          <w:rFonts w:cstheme="minorHAnsi"/>
        </w:rPr>
      </w:pPr>
      <w:r w:rsidRPr="00542CD5">
        <w:rPr>
          <w:rFonts w:cstheme="minorHAnsi"/>
        </w:rPr>
        <w:t>•</w:t>
      </w:r>
      <w:r w:rsidRPr="00542CD5">
        <w:rPr>
          <w:rFonts w:cstheme="minorHAnsi"/>
        </w:rPr>
        <w:tab/>
        <w:t>Reversing early adverse adaptations or inheritances gets progressively harder after the first 1000 days. While it is never too late to make changes, the first and best opportunity we have to build strong foundations for optimal development is during the first 1000 days.</w:t>
      </w:r>
    </w:p>
    <w:p w14:paraId="368BFD58" w14:textId="77777777" w:rsidR="006C2311" w:rsidRDefault="006C2311" w:rsidP="006C2311">
      <w:pPr>
        <w:ind w:left="720" w:hanging="720"/>
        <w:rPr>
          <w:rFonts w:cstheme="minorHAnsi"/>
          <w:b/>
          <w:bCs/>
        </w:rPr>
      </w:pPr>
    </w:p>
    <w:p w14:paraId="5B0995F5" w14:textId="77777777" w:rsidR="006C2311" w:rsidRDefault="006C2311" w:rsidP="006C2311">
      <w:pPr>
        <w:spacing w:after="0"/>
        <w:ind w:left="142" w:hanging="142"/>
        <w:rPr>
          <w:rFonts w:cstheme="minorHAnsi"/>
          <w:b/>
          <w:bCs/>
        </w:rPr>
      </w:pPr>
      <w:r w:rsidRPr="00542CD5">
        <w:rPr>
          <w:rFonts w:cstheme="minorHAnsi"/>
          <w:b/>
          <w:bCs/>
        </w:rPr>
        <w:t xml:space="preserve">“Transformations in parenting: New possibilities through peer-led interventions” </w:t>
      </w:r>
    </w:p>
    <w:p w14:paraId="7271535C" w14:textId="211CC06F" w:rsidR="006C2311" w:rsidRDefault="006C2311" w:rsidP="006C2311">
      <w:pPr>
        <w:spacing w:after="0"/>
        <w:ind w:left="142" w:hanging="142"/>
        <w:rPr>
          <w:rFonts w:cstheme="minorHAnsi"/>
          <w:b/>
          <w:bCs/>
        </w:rPr>
      </w:pPr>
      <w:r w:rsidRPr="00542CD5">
        <w:rPr>
          <w:rFonts w:cstheme="minorHAnsi"/>
          <w:b/>
          <w:bCs/>
        </w:rPr>
        <w:t>(Dr Paul</w:t>
      </w:r>
      <w:r>
        <w:rPr>
          <w:rFonts w:cstheme="minorHAnsi"/>
          <w:b/>
          <w:bCs/>
        </w:rPr>
        <w:t xml:space="preserve"> </w:t>
      </w:r>
      <w:r w:rsidRPr="00542CD5">
        <w:rPr>
          <w:rFonts w:cstheme="minorHAnsi"/>
          <w:b/>
          <w:bCs/>
        </w:rPr>
        <w:t>Pritchard) acknowledges that:</w:t>
      </w:r>
    </w:p>
    <w:p w14:paraId="670F2755" w14:textId="77777777" w:rsidR="006C2311" w:rsidRPr="009452C6" w:rsidRDefault="006C2311" w:rsidP="006C2311">
      <w:pPr>
        <w:spacing w:after="0"/>
        <w:ind w:left="142" w:hanging="142"/>
        <w:rPr>
          <w:rFonts w:cstheme="minorHAnsi"/>
        </w:rPr>
      </w:pPr>
    </w:p>
    <w:p w14:paraId="0097F0A1"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 xml:space="preserve">There has been profound technological and scientific advancement over the past century that has shaped changes in the social and physical contexts in which families live and children are raised. These changes have resulted in growing inequalities and these disparities are often evident in children by school entry age and can continue across the life course. </w:t>
      </w:r>
    </w:p>
    <w:p w14:paraId="5FF6FBDF"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 xml:space="preserve">Research evidence suggests that traditional service approaches are failing to engage the </w:t>
      </w:r>
      <w:r w:rsidRPr="00542CD5">
        <w:rPr>
          <w:rFonts w:cstheme="minorHAnsi"/>
        </w:rPr>
        <w:br/>
        <w:t>growing numbers of Australian families experiencing disadvantage.</w:t>
      </w:r>
    </w:p>
    <w:p w14:paraId="21297A5F"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 xml:space="preserve">It is known that parents initially turn to others in their network of family and friends for </w:t>
      </w:r>
      <w:r w:rsidRPr="00542CD5">
        <w:rPr>
          <w:rFonts w:cstheme="minorHAnsi"/>
        </w:rPr>
        <w:br/>
        <w:t xml:space="preserve">advice and support before accessing professional support. </w:t>
      </w:r>
    </w:p>
    <w:p w14:paraId="4F486414"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 xml:space="preserve">The model of partnership emphasises the importance of services being able to support </w:t>
      </w:r>
      <w:r w:rsidRPr="00542CD5">
        <w:rPr>
          <w:rFonts w:cstheme="minorHAnsi"/>
        </w:rPr>
        <w:br/>
        <w:t>parents to make the transition from being service ‘users’ to service ‘contributors’.</w:t>
      </w:r>
    </w:p>
    <w:p w14:paraId="27343DBE" w14:textId="77777777" w:rsidR="006C2311" w:rsidRPr="00542CD5" w:rsidRDefault="006C2311" w:rsidP="006C2311">
      <w:pPr>
        <w:ind w:left="720" w:hanging="720"/>
        <w:rPr>
          <w:rFonts w:cstheme="minorHAnsi"/>
        </w:rPr>
      </w:pPr>
      <w:r w:rsidRPr="00542CD5">
        <w:rPr>
          <w:rFonts w:cstheme="minorHAnsi"/>
        </w:rPr>
        <w:t>•</w:t>
      </w:r>
      <w:r w:rsidRPr="00542CD5">
        <w:rPr>
          <w:rFonts w:cstheme="minorHAnsi"/>
        </w:rPr>
        <w:tab/>
        <w:t xml:space="preserve">Research has provided insights into the potentially transformative changes parent </w:t>
      </w:r>
      <w:r w:rsidRPr="00542CD5">
        <w:rPr>
          <w:rFonts w:cstheme="minorHAnsi"/>
        </w:rPr>
        <w:br/>
        <w:t>participants experienced when participating in a peer-led parenting intervention.</w:t>
      </w:r>
    </w:p>
    <w:p w14:paraId="1A3159C6" w14:textId="77777777" w:rsidR="006C2311" w:rsidRPr="00542CD5" w:rsidRDefault="006C2311" w:rsidP="006C2311">
      <w:pPr>
        <w:jc w:val="both"/>
        <w:rPr>
          <w:rFonts w:cstheme="minorHAnsi"/>
        </w:rPr>
      </w:pPr>
    </w:p>
    <w:p w14:paraId="724DB9CC" w14:textId="41E4E8EA" w:rsidR="006C2311" w:rsidRPr="009E757D" w:rsidRDefault="009E757D" w:rsidP="009E757D">
      <w:pPr>
        <w:pStyle w:val="ListParagraph"/>
        <w:numPr>
          <w:ilvl w:val="0"/>
          <w:numId w:val="16"/>
        </w:numPr>
        <w:rPr>
          <w:rFonts w:cstheme="minorHAnsi"/>
          <w:b/>
          <w:sz w:val="28"/>
          <w:szCs w:val="28"/>
        </w:rPr>
      </w:pPr>
      <w:r w:rsidRPr="009E757D">
        <w:rPr>
          <w:rFonts w:cstheme="minorHAnsi"/>
          <w:b/>
          <w:sz w:val="28"/>
          <w:szCs w:val="28"/>
        </w:rPr>
        <w:lastRenderedPageBreak/>
        <w:t>DATA SPECIFIC TO CENTRAL GOLDFIELDS</w:t>
      </w:r>
    </w:p>
    <w:p w14:paraId="1F236315" w14:textId="2B9CECCE" w:rsidR="006C2311" w:rsidRPr="009E757D" w:rsidRDefault="006C2311" w:rsidP="006C2311"/>
    <w:p w14:paraId="73C1245D" w14:textId="2C48BC14" w:rsidR="009E757D" w:rsidRDefault="009E757D" w:rsidP="009E757D">
      <w:pPr>
        <w:spacing w:before="240"/>
        <w:rPr>
          <w:b/>
        </w:rPr>
      </w:pPr>
      <w:r>
        <w:rPr>
          <w:b/>
        </w:rPr>
        <w:t>SCHOOL ENTRANCE HEALTH QUESTIONNAIRE (2019)</w:t>
      </w:r>
    </w:p>
    <w:p w14:paraId="539CFC58" w14:textId="77777777" w:rsidR="009E757D" w:rsidRPr="00347177" w:rsidRDefault="009E757D" w:rsidP="009E757D">
      <w:pPr>
        <w:pStyle w:val="TableParagraph"/>
        <w:kinsoku w:val="0"/>
        <w:overflowPunct w:val="0"/>
        <w:spacing w:before="19" w:after="120"/>
        <w:ind w:left="28" w:right="45"/>
        <w:rPr>
          <w:rFonts w:asciiTheme="minorHAnsi" w:hAnsiTheme="minorHAnsi" w:cs="Arial"/>
          <w:sz w:val="22"/>
          <w:szCs w:val="22"/>
        </w:rPr>
      </w:pPr>
      <w:r w:rsidRPr="00347177">
        <w:rPr>
          <w:rFonts w:asciiTheme="minorHAnsi" w:hAnsiTheme="minorHAnsi" w:cs="Arial"/>
          <w:sz w:val="22"/>
          <w:szCs w:val="22"/>
        </w:rPr>
        <w:t>In the LGA of Central Goldfields (S), there were 113 children (0.2% of the state total of 67,286) involved in the 2019 SEHQ data collection*. Below are the number and percentage of responses from these parents about their children and aspects of their health and wellbeing as reported in the 2019 SEHQ.</w:t>
      </w:r>
    </w:p>
    <w:p w14:paraId="48899FD9" w14:textId="77777777" w:rsidR="009E757D" w:rsidRDefault="009E757D" w:rsidP="009E757D">
      <w:pPr>
        <w:spacing w:before="240"/>
        <w:rPr>
          <w:b/>
        </w:rPr>
      </w:pPr>
    </w:p>
    <w:tbl>
      <w:tblPr>
        <w:tblStyle w:val="TableGrid"/>
        <w:tblW w:w="0" w:type="auto"/>
        <w:tblLook w:val="04A0" w:firstRow="1" w:lastRow="0" w:firstColumn="1" w:lastColumn="0" w:noHBand="0" w:noVBand="1"/>
      </w:tblPr>
      <w:tblGrid>
        <w:gridCol w:w="6485"/>
        <w:gridCol w:w="1307"/>
        <w:gridCol w:w="1224"/>
      </w:tblGrid>
      <w:tr w:rsidR="009E757D" w:rsidRPr="00B84ADB" w14:paraId="357EA124" w14:textId="77777777" w:rsidTr="00C55ACE">
        <w:trPr>
          <w:trHeight w:val="644"/>
        </w:trPr>
        <w:tc>
          <w:tcPr>
            <w:tcW w:w="0" w:type="auto"/>
          </w:tcPr>
          <w:p w14:paraId="62C6268A" w14:textId="77777777" w:rsidR="009E757D" w:rsidRPr="00B84ADB" w:rsidRDefault="009E757D" w:rsidP="00C55ACE">
            <w:pPr>
              <w:rPr>
                <w:b/>
              </w:rPr>
            </w:pPr>
          </w:p>
        </w:tc>
        <w:tc>
          <w:tcPr>
            <w:tcW w:w="1307" w:type="dxa"/>
          </w:tcPr>
          <w:p w14:paraId="66C16CBF" w14:textId="77777777" w:rsidR="009E757D" w:rsidRPr="00B84ADB" w:rsidRDefault="009E757D" w:rsidP="00C55ACE">
            <w:pPr>
              <w:rPr>
                <w:b/>
              </w:rPr>
            </w:pPr>
            <w:r w:rsidRPr="00B84ADB">
              <w:rPr>
                <w:b/>
              </w:rPr>
              <w:t xml:space="preserve">Central Goldfields </w:t>
            </w:r>
          </w:p>
        </w:tc>
        <w:tc>
          <w:tcPr>
            <w:tcW w:w="1224" w:type="dxa"/>
          </w:tcPr>
          <w:p w14:paraId="2575DBD1" w14:textId="77777777" w:rsidR="009E757D" w:rsidRPr="00B84ADB" w:rsidRDefault="009E757D" w:rsidP="00C55ACE">
            <w:pPr>
              <w:rPr>
                <w:b/>
              </w:rPr>
            </w:pPr>
            <w:r w:rsidRPr="00B84ADB">
              <w:rPr>
                <w:b/>
              </w:rPr>
              <w:t>Victoria</w:t>
            </w:r>
          </w:p>
        </w:tc>
      </w:tr>
      <w:tr w:rsidR="009E757D" w:rsidRPr="00B84ADB" w14:paraId="098FEC85" w14:textId="77777777" w:rsidTr="00C55ACE">
        <w:trPr>
          <w:trHeight w:val="412"/>
        </w:trPr>
        <w:tc>
          <w:tcPr>
            <w:tcW w:w="0" w:type="auto"/>
          </w:tcPr>
          <w:p w14:paraId="55F8AF1A" w14:textId="77777777" w:rsidR="009E757D" w:rsidRPr="00B84ADB" w:rsidRDefault="009E757D" w:rsidP="00C55ACE">
            <w:pPr>
              <w:rPr>
                <w:b/>
              </w:rPr>
            </w:pPr>
            <w:r w:rsidRPr="00B84ADB">
              <w:rPr>
                <w:rFonts w:cs="Arial"/>
              </w:rPr>
              <w:t>Aboriginal and/or Torres Strait Islander children</w:t>
            </w:r>
          </w:p>
        </w:tc>
        <w:tc>
          <w:tcPr>
            <w:tcW w:w="1307" w:type="dxa"/>
          </w:tcPr>
          <w:p w14:paraId="40626E28" w14:textId="77777777" w:rsidR="009E757D" w:rsidRPr="003C5573" w:rsidRDefault="009E757D" w:rsidP="00C55ACE">
            <w:pPr>
              <w:rPr>
                <w:bCs/>
              </w:rPr>
            </w:pPr>
            <w:r w:rsidRPr="003C5573">
              <w:rPr>
                <w:bCs/>
              </w:rPr>
              <w:t>5.1%</w:t>
            </w:r>
          </w:p>
        </w:tc>
        <w:tc>
          <w:tcPr>
            <w:tcW w:w="1224" w:type="dxa"/>
          </w:tcPr>
          <w:p w14:paraId="1B28DC16" w14:textId="77777777" w:rsidR="009E757D" w:rsidRPr="003C5573" w:rsidRDefault="009E757D" w:rsidP="00C55ACE">
            <w:pPr>
              <w:rPr>
                <w:bCs/>
              </w:rPr>
            </w:pPr>
            <w:r w:rsidRPr="003C5573">
              <w:rPr>
                <w:bCs/>
              </w:rPr>
              <w:t>1.8%</w:t>
            </w:r>
          </w:p>
        </w:tc>
      </w:tr>
      <w:tr w:rsidR="009E757D" w:rsidRPr="00B84ADB" w14:paraId="1E5F7AB5" w14:textId="77777777" w:rsidTr="00C55ACE">
        <w:trPr>
          <w:trHeight w:val="560"/>
        </w:trPr>
        <w:tc>
          <w:tcPr>
            <w:tcW w:w="0" w:type="auto"/>
          </w:tcPr>
          <w:p w14:paraId="71716A74" w14:textId="77777777" w:rsidR="009E757D" w:rsidRPr="00B84ADB" w:rsidRDefault="009E757D" w:rsidP="00C55ACE">
            <w:pPr>
              <w:pStyle w:val="TableParagraph"/>
              <w:kinsoku w:val="0"/>
              <w:overflowPunct w:val="0"/>
              <w:spacing w:after="120"/>
              <w:ind w:left="28" w:right="45"/>
              <w:rPr>
                <w:rFonts w:asciiTheme="minorHAnsi" w:hAnsiTheme="minorHAnsi"/>
                <w:b/>
                <w:sz w:val="22"/>
                <w:szCs w:val="22"/>
              </w:rPr>
            </w:pPr>
            <w:r w:rsidRPr="00B84ADB">
              <w:rPr>
                <w:rFonts w:asciiTheme="minorHAnsi" w:hAnsiTheme="minorHAnsi" w:cs="Arial"/>
                <w:sz w:val="22"/>
                <w:szCs w:val="22"/>
              </w:rPr>
              <w:t>Children living in an area with the most socio-economic disadvantage**</w:t>
            </w:r>
          </w:p>
        </w:tc>
        <w:tc>
          <w:tcPr>
            <w:tcW w:w="1307" w:type="dxa"/>
          </w:tcPr>
          <w:p w14:paraId="270DD090" w14:textId="77777777" w:rsidR="009E757D" w:rsidRPr="003C5573" w:rsidRDefault="009E757D" w:rsidP="00C55ACE">
            <w:pPr>
              <w:rPr>
                <w:bCs/>
              </w:rPr>
            </w:pPr>
            <w:r w:rsidRPr="003C5573">
              <w:rPr>
                <w:bCs/>
              </w:rPr>
              <w:t>99.8%</w:t>
            </w:r>
          </w:p>
        </w:tc>
        <w:tc>
          <w:tcPr>
            <w:tcW w:w="1224" w:type="dxa"/>
          </w:tcPr>
          <w:p w14:paraId="5806F7DB" w14:textId="77777777" w:rsidR="009E757D" w:rsidRPr="003C5573" w:rsidRDefault="009E757D" w:rsidP="00C55ACE">
            <w:pPr>
              <w:rPr>
                <w:bCs/>
              </w:rPr>
            </w:pPr>
            <w:r w:rsidRPr="003C5573">
              <w:rPr>
                <w:bCs/>
              </w:rPr>
              <w:t>19.5%</w:t>
            </w:r>
          </w:p>
        </w:tc>
      </w:tr>
      <w:tr w:rsidR="009E757D" w:rsidRPr="00B84ADB" w14:paraId="626DEEF8" w14:textId="77777777" w:rsidTr="00C55ACE">
        <w:trPr>
          <w:trHeight w:val="470"/>
        </w:trPr>
        <w:tc>
          <w:tcPr>
            <w:tcW w:w="0" w:type="auto"/>
          </w:tcPr>
          <w:p w14:paraId="4FF325AE" w14:textId="77777777" w:rsidR="009E757D" w:rsidRPr="00B84ADB" w:rsidRDefault="009E757D" w:rsidP="00C55ACE">
            <w:pPr>
              <w:rPr>
                <w:b/>
              </w:rPr>
            </w:pPr>
            <w:r w:rsidRPr="00B84ADB">
              <w:rPr>
                <w:rFonts w:cs="Arial"/>
              </w:rPr>
              <w:t>Children who live with one parent (mother only or father only)</w:t>
            </w:r>
          </w:p>
        </w:tc>
        <w:tc>
          <w:tcPr>
            <w:tcW w:w="1307" w:type="dxa"/>
          </w:tcPr>
          <w:p w14:paraId="3DF95954" w14:textId="77777777" w:rsidR="009E757D" w:rsidRPr="003C5573" w:rsidRDefault="009E757D" w:rsidP="00C55ACE">
            <w:pPr>
              <w:rPr>
                <w:bCs/>
              </w:rPr>
            </w:pPr>
            <w:r w:rsidRPr="003C5573">
              <w:rPr>
                <w:bCs/>
              </w:rPr>
              <w:t>21.3%</w:t>
            </w:r>
          </w:p>
        </w:tc>
        <w:tc>
          <w:tcPr>
            <w:tcW w:w="1224" w:type="dxa"/>
          </w:tcPr>
          <w:p w14:paraId="21E4D28B" w14:textId="77777777" w:rsidR="009E757D" w:rsidRPr="003C5573" w:rsidRDefault="009E757D" w:rsidP="00C55ACE">
            <w:pPr>
              <w:rPr>
                <w:bCs/>
              </w:rPr>
            </w:pPr>
            <w:r w:rsidRPr="003C5573">
              <w:rPr>
                <w:bCs/>
              </w:rPr>
              <w:t>10.9%</w:t>
            </w:r>
          </w:p>
        </w:tc>
      </w:tr>
      <w:tr w:rsidR="009E757D" w:rsidRPr="00B84ADB" w14:paraId="443D7DDC" w14:textId="77777777" w:rsidTr="00C55ACE">
        <w:trPr>
          <w:trHeight w:val="421"/>
        </w:trPr>
        <w:tc>
          <w:tcPr>
            <w:tcW w:w="0" w:type="auto"/>
          </w:tcPr>
          <w:p w14:paraId="2E757D15" w14:textId="77777777" w:rsidR="009E757D" w:rsidRPr="00B84ADB" w:rsidRDefault="009E757D" w:rsidP="00C55ACE">
            <w:pPr>
              <w:rPr>
                <w:b/>
              </w:rPr>
            </w:pPr>
            <w:r w:rsidRPr="00B84ADB">
              <w:rPr>
                <w:rFonts w:cs="Arial"/>
              </w:rPr>
              <w:t>Parents concerned about their child's oral health (eg, teeth, gums etc)</w:t>
            </w:r>
          </w:p>
        </w:tc>
        <w:tc>
          <w:tcPr>
            <w:tcW w:w="1307" w:type="dxa"/>
          </w:tcPr>
          <w:p w14:paraId="6C4C5210" w14:textId="77777777" w:rsidR="009E757D" w:rsidRPr="003C5573" w:rsidRDefault="009E757D" w:rsidP="00C55ACE">
            <w:pPr>
              <w:rPr>
                <w:bCs/>
              </w:rPr>
            </w:pPr>
            <w:r w:rsidRPr="003C5573">
              <w:rPr>
                <w:bCs/>
              </w:rPr>
              <w:t>15.4%</w:t>
            </w:r>
          </w:p>
        </w:tc>
        <w:tc>
          <w:tcPr>
            <w:tcW w:w="1224" w:type="dxa"/>
          </w:tcPr>
          <w:p w14:paraId="46F51BEF" w14:textId="77777777" w:rsidR="009E757D" w:rsidRPr="003C5573" w:rsidRDefault="009E757D" w:rsidP="00C55ACE">
            <w:pPr>
              <w:rPr>
                <w:bCs/>
              </w:rPr>
            </w:pPr>
            <w:r w:rsidRPr="003C5573">
              <w:rPr>
                <w:bCs/>
              </w:rPr>
              <w:t>15.3%</w:t>
            </w:r>
          </w:p>
        </w:tc>
      </w:tr>
      <w:tr w:rsidR="009E757D" w:rsidRPr="00B84ADB" w14:paraId="7FE72526" w14:textId="77777777" w:rsidTr="00C55ACE">
        <w:trPr>
          <w:trHeight w:val="399"/>
        </w:trPr>
        <w:tc>
          <w:tcPr>
            <w:tcW w:w="0" w:type="auto"/>
          </w:tcPr>
          <w:p w14:paraId="06123931" w14:textId="77777777" w:rsidR="009E757D" w:rsidRPr="00B84ADB" w:rsidRDefault="009E757D" w:rsidP="00C55ACE">
            <w:pPr>
              <w:rPr>
                <w:b/>
              </w:rPr>
            </w:pPr>
            <w:r w:rsidRPr="00B84ADB">
              <w:rPr>
                <w:rFonts w:cs="Arial"/>
              </w:rPr>
              <w:t>Children reported to have difficulties with speech and/or language</w:t>
            </w:r>
          </w:p>
        </w:tc>
        <w:tc>
          <w:tcPr>
            <w:tcW w:w="1307" w:type="dxa"/>
          </w:tcPr>
          <w:p w14:paraId="0428BF3B" w14:textId="77777777" w:rsidR="009E757D" w:rsidRPr="003C5573" w:rsidRDefault="009E757D" w:rsidP="00C55ACE">
            <w:pPr>
              <w:rPr>
                <w:bCs/>
              </w:rPr>
            </w:pPr>
            <w:r w:rsidRPr="003C5573">
              <w:rPr>
                <w:bCs/>
              </w:rPr>
              <w:t>24.2%</w:t>
            </w:r>
          </w:p>
        </w:tc>
        <w:tc>
          <w:tcPr>
            <w:tcW w:w="1224" w:type="dxa"/>
          </w:tcPr>
          <w:p w14:paraId="2A3CF747" w14:textId="77777777" w:rsidR="009E757D" w:rsidRPr="003C5573" w:rsidRDefault="009E757D" w:rsidP="00C55ACE">
            <w:pPr>
              <w:rPr>
                <w:bCs/>
              </w:rPr>
            </w:pPr>
            <w:r w:rsidRPr="003C5573">
              <w:rPr>
                <w:bCs/>
              </w:rPr>
              <w:t>15%</w:t>
            </w:r>
          </w:p>
        </w:tc>
      </w:tr>
      <w:tr w:rsidR="009E757D" w:rsidRPr="00B84ADB" w14:paraId="4A54D0CC" w14:textId="77777777" w:rsidTr="00C55ACE">
        <w:trPr>
          <w:trHeight w:val="574"/>
        </w:trPr>
        <w:tc>
          <w:tcPr>
            <w:tcW w:w="0" w:type="auto"/>
          </w:tcPr>
          <w:p w14:paraId="61891225" w14:textId="77777777" w:rsidR="009E757D" w:rsidRPr="00B84ADB" w:rsidRDefault="009E757D" w:rsidP="00C55ACE">
            <w:pPr>
              <w:rPr>
                <w:rFonts w:cs="Arial"/>
              </w:rPr>
            </w:pPr>
            <w:r w:rsidRPr="00B84ADB">
              <w:rPr>
                <w:rFonts w:cs="Arial"/>
              </w:rPr>
              <w:t>Children reported to have attended a Maternal and Child Health Centre for their 3 ½ year old check</w:t>
            </w:r>
          </w:p>
        </w:tc>
        <w:tc>
          <w:tcPr>
            <w:tcW w:w="1307" w:type="dxa"/>
          </w:tcPr>
          <w:p w14:paraId="628A12A5" w14:textId="77777777" w:rsidR="009E757D" w:rsidRPr="003C5573" w:rsidRDefault="009E757D" w:rsidP="00C55ACE">
            <w:pPr>
              <w:rPr>
                <w:bCs/>
              </w:rPr>
            </w:pPr>
            <w:r w:rsidRPr="003C5573">
              <w:rPr>
                <w:bCs/>
              </w:rPr>
              <w:t>85.4%</w:t>
            </w:r>
          </w:p>
        </w:tc>
        <w:tc>
          <w:tcPr>
            <w:tcW w:w="1224" w:type="dxa"/>
          </w:tcPr>
          <w:p w14:paraId="65FA31C9" w14:textId="77777777" w:rsidR="009E757D" w:rsidRPr="003C5573" w:rsidRDefault="009E757D" w:rsidP="00C55ACE">
            <w:pPr>
              <w:rPr>
                <w:bCs/>
              </w:rPr>
            </w:pPr>
            <w:r w:rsidRPr="003C5573">
              <w:rPr>
                <w:bCs/>
              </w:rPr>
              <w:t>71.6%</w:t>
            </w:r>
          </w:p>
        </w:tc>
      </w:tr>
      <w:tr w:rsidR="009E757D" w:rsidRPr="00B84ADB" w14:paraId="7C602F2D" w14:textId="77777777" w:rsidTr="00C55ACE">
        <w:trPr>
          <w:trHeight w:val="777"/>
        </w:trPr>
        <w:tc>
          <w:tcPr>
            <w:tcW w:w="0" w:type="auto"/>
          </w:tcPr>
          <w:p w14:paraId="32DB07B7" w14:textId="77777777" w:rsidR="009E757D" w:rsidRPr="00B84ADB" w:rsidRDefault="009E757D" w:rsidP="00C55ACE">
            <w:pPr>
              <w:rPr>
                <w:rFonts w:cs="Arial"/>
              </w:rPr>
            </w:pPr>
            <w:r w:rsidRPr="00B84ADB">
              <w:rPr>
                <w:rFonts w:cs="Arial"/>
              </w:rPr>
              <w:t>Parents concerned about the behaviour of their child</w:t>
            </w:r>
          </w:p>
        </w:tc>
        <w:tc>
          <w:tcPr>
            <w:tcW w:w="1307" w:type="dxa"/>
          </w:tcPr>
          <w:p w14:paraId="17C3B6A6" w14:textId="77777777" w:rsidR="009E757D" w:rsidRPr="003C5573" w:rsidRDefault="009E757D" w:rsidP="00C55ACE">
            <w:pPr>
              <w:rPr>
                <w:bCs/>
              </w:rPr>
            </w:pPr>
            <w:r w:rsidRPr="003C5573">
              <w:rPr>
                <w:bCs/>
              </w:rPr>
              <w:t>18.8%</w:t>
            </w:r>
          </w:p>
        </w:tc>
        <w:tc>
          <w:tcPr>
            <w:tcW w:w="1224" w:type="dxa"/>
          </w:tcPr>
          <w:p w14:paraId="4A42B680" w14:textId="77777777" w:rsidR="009E757D" w:rsidRPr="003C5573" w:rsidRDefault="009E757D" w:rsidP="00C55ACE">
            <w:pPr>
              <w:rPr>
                <w:bCs/>
              </w:rPr>
            </w:pPr>
            <w:r w:rsidRPr="003C5573">
              <w:rPr>
                <w:bCs/>
              </w:rPr>
              <w:t>14.8%</w:t>
            </w:r>
          </w:p>
        </w:tc>
      </w:tr>
      <w:tr w:rsidR="009E757D" w:rsidRPr="00B84ADB" w14:paraId="06C3E245" w14:textId="77777777" w:rsidTr="00C55ACE">
        <w:trPr>
          <w:trHeight w:val="416"/>
        </w:trPr>
        <w:tc>
          <w:tcPr>
            <w:tcW w:w="0" w:type="auto"/>
          </w:tcPr>
          <w:p w14:paraId="10FEDA05" w14:textId="77777777" w:rsidR="009E757D" w:rsidRPr="00B84ADB" w:rsidRDefault="009E757D" w:rsidP="00C55ACE">
            <w:pPr>
              <w:rPr>
                <w:rFonts w:cs="Arial"/>
              </w:rPr>
            </w:pPr>
            <w:r w:rsidRPr="00B84ADB">
              <w:rPr>
                <w:rFonts w:cs="Arial"/>
              </w:rPr>
              <w:t>Children at high risk of developmental or behavioural problems</w:t>
            </w:r>
          </w:p>
        </w:tc>
        <w:tc>
          <w:tcPr>
            <w:tcW w:w="1307" w:type="dxa"/>
          </w:tcPr>
          <w:p w14:paraId="1BFEB148" w14:textId="77777777" w:rsidR="009E757D" w:rsidRPr="003C5573" w:rsidRDefault="009E757D" w:rsidP="00C55ACE">
            <w:pPr>
              <w:rPr>
                <w:bCs/>
              </w:rPr>
            </w:pPr>
            <w:r w:rsidRPr="003C5573">
              <w:rPr>
                <w:bCs/>
              </w:rPr>
              <w:t>23.1%</w:t>
            </w:r>
          </w:p>
        </w:tc>
        <w:tc>
          <w:tcPr>
            <w:tcW w:w="1224" w:type="dxa"/>
          </w:tcPr>
          <w:p w14:paraId="14E3EB3B" w14:textId="77777777" w:rsidR="009E757D" w:rsidRPr="003C5573" w:rsidRDefault="009E757D" w:rsidP="00C55ACE">
            <w:pPr>
              <w:rPr>
                <w:bCs/>
              </w:rPr>
            </w:pPr>
            <w:r w:rsidRPr="003C5573">
              <w:rPr>
                <w:bCs/>
              </w:rPr>
              <w:t>22.2%</w:t>
            </w:r>
          </w:p>
        </w:tc>
      </w:tr>
      <w:tr w:rsidR="009E757D" w:rsidRPr="00B84ADB" w14:paraId="5EED356E" w14:textId="77777777" w:rsidTr="00C55ACE">
        <w:trPr>
          <w:trHeight w:val="422"/>
        </w:trPr>
        <w:tc>
          <w:tcPr>
            <w:tcW w:w="0" w:type="auto"/>
          </w:tcPr>
          <w:p w14:paraId="23CC2E82" w14:textId="77777777" w:rsidR="009E757D" w:rsidRPr="00B84ADB" w:rsidRDefault="009E757D" w:rsidP="00C55ACE">
            <w:pPr>
              <w:rPr>
                <w:rFonts w:cs="Arial"/>
              </w:rPr>
            </w:pPr>
            <w:r w:rsidRPr="00B84ADB">
              <w:rPr>
                <w:rFonts w:cs="Arial"/>
              </w:rPr>
              <w:t>Children at moderate risk of developmental or behavioural problems</w:t>
            </w:r>
          </w:p>
        </w:tc>
        <w:tc>
          <w:tcPr>
            <w:tcW w:w="1307" w:type="dxa"/>
          </w:tcPr>
          <w:p w14:paraId="6B2108F7" w14:textId="77777777" w:rsidR="009E757D" w:rsidRPr="003C5573" w:rsidRDefault="009E757D" w:rsidP="00C55ACE">
            <w:pPr>
              <w:rPr>
                <w:bCs/>
              </w:rPr>
            </w:pPr>
            <w:r w:rsidRPr="003C5573">
              <w:rPr>
                <w:bCs/>
              </w:rPr>
              <w:t>26.8%</w:t>
            </w:r>
          </w:p>
        </w:tc>
        <w:tc>
          <w:tcPr>
            <w:tcW w:w="1224" w:type="dxa"/>
          </w:tcPr>
          <w:p w14:paraId="6D61E077" w14:textId="77777777" w:rsidR="009E757D" w:rsidRPr="003C5573" w:rsidRDefault="009E757D" w:rsidP="00C55ACE">
            <w:pPr>
              <w:rPr>
                <w:bCs/>
              </w:rPr>
            </w:pPr>
            <w:r w:rsidRPr="003C5573">
              <w:rPr>
                <w:bCs/>
              </w:rPr>
              <w:t>28%</w:t>
            </w:r>
          </w:p>
        </w:tc>
      </w:tr>
      <w:tr w:rsidR="009E757D" w:rsidRPr="00B84ADB" w14:paraId="6128E785" w14:textId="77777777" w:rsidTr="00C55ACE">
        <w:trPr>
          <w:trHeight w:val="413"/>
        </w:trPr>
        <w:tc>
          <w:tcPr>
            <w:tcW w:w="0" w:type="auto"/>
          </w:tcPr>
          <w:p w14:paraId="4D27B512" w14:textId="77777777" w:rsidR="009E757D" w:rsidRPr="00B84ADB" w:rsidRDefault="009E757D" w:rsidP="00C55ACE">
            <w:pPr>
              <w:rPr>
                <w:rFonts w:cs="Arial"/>
              </w:rPr>
            </w:pPr>
            <w:r w:rsidRPr="00B84ADB">
              <w:rPr>
                <w:rFonts w:cs="Arial"/>
              </w:rPr>
              <w:t>Children at high risk of behavioural and emotional problems</w:t>
            </w:r>
          </w:p>
        </w:tc>
        <w:tc>
          <w:tcPr>
            <w:tcW w:w="1307" w:type="dxa"/>
          </w:tcPr>
          <w:p w14:paraId="075A53E7" w14:textId="77777777" w:rsidR="009E757D" w:rsidRPr="003C5573" w:rsidRDefault="009E757D" w:rsidP="00C55ACE">
            <w:pPr>
              <w:rPr>
                <w:bCs/>
              </w:rPr>
            </w:pPr>
            <w:r w:rsidRPr="003C5573">
              <w:rPr>
                <w:bCs/>
              </w:rPr>
              <w:t>15.3%</w:t>
            </w:r>
          </w:p>
        </w:tc>
        <w:tc>
          <w:tcPr>
            <w:tcW w:w="1224" w:type="dxa"/>
          </w:tcPr>
          <w:p w14:paraId="2F5168A9" w14:textId="77777777" w:rsidR="009E757D" w:rsidRPr="003C5573" w:rsidRDefault="009E757D" w:rsidP="00C55ACE">
            <w:pPr>
              <w:rPr>
                <w:bCs/>
              </w:rPr>
            </w:pPr>
            <w:r w:rsidRPr="003C5573">
              <w:rPr>
                <w:bCs/>
              </w:rPr>
              <w:t>6.7%</w:t>
            </w:r>
          </w:p>
        </w:tc>
      </w:tr>
      <w:tr w:rsidR="009E757D" w:rsidRPr="00B84ADB" w14:paraId="15FB73E6" w14:textId="77777777" w:rsidTr="00C55ACE">
        <w:trPr>
          <w:trHeight w:val="561"/>
        </w:trPr>
        <w:tc>
          <w:tcPr>
            <w:tcW w:w="0" w:type="auto"/>
          </w:tcPr>
          <w:p w14:paraId="7946C822" w14:textId="77777777" w:rsidR="009E757D" w:rsidRPr="00B84ADB" w:rsidRDefault="009E757D" w:rsidP="00C55ACE">
            <w:pPr>
              <w:rPr>
                <w:rFonts w:cs="Arial"/>
              </w:rPr>
            </w:pPr>
            <w:r w:rsidRPr="00B84ADB">
              <w:rPr>
                <w:rFonts w:cs="Arial"/>
              </w:rPr>
              <w:t>Families experiencing high or very high stress during the month prior to the survey</w:t>
            </w:r>
          </w:p>
        </w:tc>
        <w:tc>
          <w:tcPr>
            <w:tcW w:w="1307" w:type="dxa"/>
          </w:tcPr>
          <w:p w14:paraId="2B78B2FE" w14:textId="0BD838B4" w:rsidR="009E757D" w:rsidRPr="003C5573" w:rsidRDefault="009E757D" w:rsidP="00C55ACE">
            <w:pPr>
              <w:rPr>
                <w:bCs/>
              </w:rPr>
            </w:pPr>
            <w:r w:rsidRPr="003C5573">
              <w:rPr>
                <w:bCs/>
              </w:rPr>
              <w:t>16%</w:t>
            </w:r>
          </w:p>
        </w:tc>
        <w:tc>
          <w:tcPr>
            <w:tcW w:w="1224" w:type="dxa"/>
          </w:tcPr>
          <w:p w14:paraId="507790D1" w14:textId="77777777" w:rsidR="009E757D" w:rsidRPr="003C5573" w:rsidRDefault="009E757D" w:rsidP="00C55ACE">
            <w:pPr>
              <w:rPr>
                <w:bCs/>
              </w:rPr>
            </w:pPr>
            <w:r w:rsidRPr="003C5573">
              <w:rPr>
                <w:bCs/>
              </w:rPr>
              <w:t>9%</w:t>
            </w:r>
          </w:p>
        </w:tc>
      </w:tr>
      <w:tr w:rsidR="009E757D" w:rsidRPr="00B84ADB" w14:paraId="43F7DFF8" w14:textId="77777777" w:rsidTr="00C55ACE">
        <w:trPr>
          <w:trHeight w:val="412"/>
        </w:trPr>
        <w:tc>
          <w:tcPr>
            <w:tcW w:w="0" w:type="auto"/>
          </w:tcPr>
          <w:p w14:paraId="6A9A0D74" w14:textId="77777777" w:rsidR="009E757D" w:rsidRPr="00B84ADB" w:rsidRDefault="009E757D" w:rsidP="00C55ACE">
            <w:pPr>
              <w:rPr>
                <w:rFonts w:cs="Arial"/>
              </w:rPr>
            </w:pPr>
            <w:r w:rsidRPr="00B84ADB">
              <w:rPr>
                <w:rFonts w:cs="Arial"/>
              </w:rPr>
              <w:t>Alcohol or drug related problem in family</w:t>
            </w:r>
          </w:p>
        </w:tc>
        <w:tc>
          <w:tcPr>
            <w:tcW w:w="1307" w:type="dxa"/>
          </w:tcPr>
          <w:p w14:paraId="3302FF3F" w14:textId="77777777" w:rsidR="009E757D" w:rsidRPr="003C5573" w:rsidRDefault="009E757D" w:rsidP="00C55ACE">
            <w:pPr>
              <w:rPr>
                <w:bCs/>
              </w:rPr>
            </w:pPr>
            <w:r w:rsidRPr="003C5573">
              <w:rPr>
                <w:bCs/>
              </w:rPr>
              <w:t>8.6%</w:t>
            </w:r>
          </w:p>
        </w:tc>
        <w:tc>
          <w:tcPr>
            <w:tcW w:w="1224" w:type="dxa"/>
          </w:tcPr>
          <w:p w14:paraId="1506E124" w14:textId="77777777" w:rsidR="009E757D" w:rsidRPr="003C5573" w:rsidRDefault="009E757D" w:rsidP="00C55ACE">
            <w:pPr>
              <w:rPr>
                <w:bCs/>
              </w:rPr>
            </w:pPr>
            <w:r w:rsidRPr="003C5573">
              <w:rPr>
                <w:bCs/>
              </w:rPr>
              <w:t>3.6%</w:t>
            </w:r>
          </w:p>
        </w:tc>
      </w:tr>
      <w:tr w:rsidR="009E757D" w:rsidRPr="00B84ADB" w14:paraId="36AAB9EB" w14:textId="77777777" w:rsidTr="00C55ACE">
        <w:trPr>
          <w:trHeight w:val="405"/>
        </w:trPr>
        <w:tc>
          <w:tcPr>
            <w:tcW w:w="0" w:type="auto"/>
          </w:tcPr>
          <w:p w14:paraId="17580849" w14:textId="77777777" w:rsidR="009E757D" w:rsidRPr="00B84ADB" w:rsidRDefault="009E757D" w:rsidP="00C55ACE">
            <w:pPr>
              <w:rPr>
                <w:rFonts w:cs="Arial"/>
              </w:rPr>
            </w:pPr>
            <w:r w:rsidRPr="00B84ADB">
              <w:rPr>
                <w:rFonts w:cs="Arial"/>
              </w:rPr>
              <w:t>History of abuse to parent</w:t>
            </w:r>
          </w:p>
        </w:tc>
        <w:tc>
          <w:tcPr>
            <w:tcW w:w="1307" w:type="dxa"/>
          </w:tcPr>
          <w:p w14:paraId="27428E2C" w14:textId="77777777" w:rsidR="009E757D" w:rsidRPr="003C5573" w:rsidRDefault="009E757D" w:rsidP="00C55ACE">
            <w:pPr>
              <w:spacing w:line="360" w:lineRule="auto"/>
              <w:rPr>
                <w:bCs/>
              </w:rPr>
            </w:pPr>
            <w:r w:rsidRPr="003C5573">
              <w:rPr>
                <w:bCs/>
              </w:rPr>
              <w:t>8.4%</w:t>
            </w:r>
          </w:p>
        </w:tc>
        <w:tc>
          <w:tcPr>
            <w:tcW w:w="1224" w:type="dxa"/>
          </w:tcPr>
          <w:p w14:paraId="3F54E38F" w14:textId="77777777" w:rsidR="009E757D" w:rsidRPr="003C5573" w:rsidRDefault="009E757D" w:rsidP="00C55ACE">
            <w:pPr>
              <w:rPr>
                <w:bCs/>
              </w:rPr>
            </w:pPr>
            <w:r w:rsidRPr="003C5573">
              <w:rPr>
                <w:bCs/>
              </w:rPr>
              <w:t>5.2%</w:t>
            </w:r>
          </w:p>
        </w:tc>
      </w:tr>
      <w:tr w:rsidR="009E757D" w:rsidRPr="00B84ADB" w14:paraId="73E6A8A0" w14:textId="77777777" w:rsidTr="00C55ACE">
        <w:trPr>
          <w:trHeight w:val="425"/>
        </w:trPr>
        <w:tc>
          <w:tcPr>
            <w:tcW w:w="0" w:type="auto"/>
          </w:tcPr>
          <w:p w14:paraId="4EAB4576" w14:textId="77777777" w:rsidR="009E757D" w:rsidRPr="00B84ADB" w:rsidRDefault="009E757D" w:rsidP="00C55ACE">
            <w:pPr>
              <w:rPr>
                <w:rFonts w:cs="Arial"/>
              </w:rPr>
            </w:pPr>
            <w:r w:rsidRPr="00B84ADB">
              <w:rPr>
                <w:rFonts w:cs="Arial"/>
              </w:rPr>
              <w:t>History of abuse to child(ren)</w:t>
            </w:r>
          </w:p>
        </w:tc>
        <w:tc>
          <w:tcPr>
            <w:tcW w:w="1307" w:type="dxa"/>
          </w:tcPr>
          <w:p w14:paraId="1B949896" w14:textId="77777777" w:rsidR="009E757D" w:rsidRPr="003C5573" w:rsidRDefault="009E757D" w:rsidP="00C55ACE">
            <w:pPr>
              <w:rPr>
                <w:bCs/>
              </w:rPr>
            </w:pPr>
            <w:r w:rsidRPr="003C5573">
              <w:rPr>
                <w:bCs/>
              </w:rPr>
              <w:t>6%</w:t>
            </w:r>
          </w:p>
        </w:tc>
        <w:tc>
          <w:tcPr>
            <w:tcW w:w="1224" w:type="dxa"/>
          </w:tcPr>
          <w:p w14:paraId="2EAE685E" w14:textId="77777777" w:rsidR="009E757D" w:rsidRPr="003C5573" w:rsidRDefault="009E757D" w:rsidP="00C55ACE">
            <w:pPr>
              <w:rPr>
                <w:bCs/>
              </w:rPr>
            </w:pPr>
            <w:r w:rsidRPr="003C5573">
              <w:rPr>
                <w:bCs/>
              </w:rPr>
              <w:t>1.9%</w:t>
            </w:r>
          </w:p>
        </w:tc>
      </w:tr>
      <w:tr w:rsidR="009E757D" w:rsidRPr="00B84ADB" w14:paraId="6954225D" w14:textId="77777777" w:rsidTr="00C55ACE">
        <w:trPr>
          <w:trHeight w:val="558"/>
        </w:trPr>
        <w:tc>
          <w:tcPr>
            <w:tcW w:w="0" w:type="auto"/>
          </w:tcPr>
          <w:p w14:paraId="72DFF117" w14:textId="77777777" w:rsidR="009E757D" w:rsidRPr="00B84ADB" w:rsidRDefault="009E757D" w:rsidP="00C55ACE">
            <w:pPr>
              <w:rPr>
                <w:rFonts w:cs="Arial"/>
              </w:rPr>
            </w:pPr>
            <w:r w:rsidRPr="00B84ADB">
              <w:rPr>
                <w:rFonts w:cs="Arial"/>
              </w:rPr>
              <w:t>Child witness to violence</w:t>
            </w:r>
          </w:p>
        </w:tc>
        <w:tc>
          <w:tcPr>
            <w:tcW w:w="1307" w:type="dxa"/>
          </w:tcPr>
          <w:p w14:paraId="14310003" w14:textId="77777777" w:rsidR="009E757D" w:rsidRPr="003C5573" w:rsidRDefault="009E757D" w:rsidP="00C55ACE">
            <w:pPr>
              <w:rPr>
                <w:bCs/>
              </w:rPr>
            </w:pPr>
            <w:r w:rsidRPr="003C5573">
              <w:rPr>
                <w:bCs/>
              </w:rPr>
              <w:t>7.6%</w:t>
            </w:r>
          </w:p>
        </w:tc>
        <w:tc>
          <w:tcPr>
            <w:tcW w:w="1224" w:type="dxa"/>
          </w:tcPr>
          <w:p w14:paraId="36DA21EC" w14:textId="77777777" w:rsidR="009E757D" w:rsidRPr="003C5573" w:rsidRDefault="009E757D" w:rsidP="00C55ACE">
            <w:pPr>
              <w:rPr>
                <w:bCs/>
              </w:rPr>
            </w:pPr>
            <w:r w:rsidRPr="003C5573">
              <w:rPr>
                <w:bCs/>
              </w:rPr>
              <w:t>3.4%</w:t>
            </w:r>
          </w:p>
        </w:tc>
      </w:tr>
      <w:tr w:rsidR="009E757D" w:rsidRPr="00B84ADB" w14:paraId="586DF10B" w14:textId="77777777" w:rsidTr="00C55ACE">
        <w:trPr>
          <w:trHeight w:val="410"/>
        </w:trPr>
        <w:tc>
          <w:tcPr>
            <w:tcW w:w="0" w:type="auto"/>
          </w:tcPr>
          <w:p w14:paraId="5BB73C80" w14:textId="77777777" w:rsidR="009E757D" w:rsidRPr="00B84ADB" w:rsidRDefault="009E757D" w:rsidP="00C55ACE">
            <w:pPr>
              <w:rPr>
                <w:rFonts w:cs="Arial"/>
              </w:rPr>
            </w:pPr>
            <w:r w:rsidRPr="00B84ADB">
              <w:rPr>
                <w:rFonts w:cs="Arial"/>
              </w:rPr>
              <w:t>History of mental illness of parent</w:t>
            </w:r>
          </w:p>
        </w:tc>
        <w:tc>
          <w:tcPr>
            <w:tcW w:w="1307" w:type="dxa"/>
          </w:tcPr>
          <w:p w14:paraId="1F98D7DD" w14:textId="77777777" w:rsidR="009E757D" w:rsidRPr="003C5573" w:rsidRDefault="009E757D" w:rsidP="00C55ACE">
            <w:pPr>
              <w:rPr>
                <w:bCs/>
              </w:rPr>
            </w:pPr>
            <w:r w:rsidRPr="003C5573">
              <w:rPr>
                <w:bCs/>
              </w:rPr>
              <w:t>19.3%</w:t>
            </w:r>
          </w:p>
        </w:tc>
        <w:tc>
          <w:tcPr>
            <w:tcW w:w="1224" w:type="dxa"/>
          </w:tcPr>
          <w:p w14:paraId="459DF933" w14:textId="77777777" w:rsidR="009E757D" w:rsidRPr="003C5573" w:rsidRDefault="009E757D" w:rsidP="00C55ACE">
            <w:pPr>
              <w:rPr>
                <w:bCs/>
              </w:rPr>
            </w:pPr>
            <w:r w:rsidRPr="003C5573">
              <w:rPr>
                <w:bCs/>
              </w:rPr>
              <w:t>8.1%</w:t>
            </w:r>
          </w:p>
        </w:tc>
      </w:tr>
    </w:tbl>
    <w:p w14:paraId="0CC512D5" w14:textId="77777777" w:rsidR="009E757D" w:rsidRPr="002573D4" w:rsidRDefault="009E757D" w:rsidP="009E757D">
      <w:pPr>
        <w:pStyle w:val="TableParagraph"/>
        <w:kinsoku w:val="0"/>
        <w:overflowPunct w:val="0"/>
        <w:spacing w:before="1" w:line="224" w:lineRule="exact"/>
        <w:ind w:right="515"/>
        <w:rPr>
          <w:rFonts w:ascii="Arial" w:hAnsi="Arial" w:cs="Arial"/>
          <w:sz w:val="16"/>
          <w:szCs w:val="20"/>
        </w:rPr>
      </w:pPr>
      <w:r>
        <w:rPr>
          <w:b/>
        </w:rPr>
        <w:t>**</w:t>
      </w:r>
      <w:r w:rsidRPr="0047789E">
        <w:rPr>
          <w:rFonts w:ascii="Arial" w:hAnsi="Arial" w:cs="Arial"/>
          <w:sz w:val="16"/>
          <w:szCs w:val="20"/>
        </w:rPr>
        <w:t xml:space="preserve"> </w:t>
      </w:r>
      <w:r w:rsidRPr="002573D4">
        <w:rPr>
          <w:rFonts w:ascii="Arial" w:hAnsi="Arial" w:cs="Arial"/>
          <w:sz w:val="16"/>
          <w:szCs w:val="20"/>
        </w:rPr>
        <w:t>based on the Australian Bureau of Statistics Socioeconomic Indexes for Areas (SEIFA).</w:t>
      </w:r>
    </w:p>
    <w:p w14:paraId="7F703510" w14:textId="77777777" w:rsidR="009E757D" w:rsidRDefault="009E757D" w:rsidP="009E757D">
      <w:pPr>
        <w:spacing w:before="240"/>
        <w:rPr>
          <w:b/>
        </w:rPr>
      </w:pPr>
    </w:p>
    <w:p w14:paraId="3E355BF3" w14:textId="20154D33" w:rsidR="006C2311" w:rsidRDefault="006C2311" w:rsidP="006C2311">
      <w:pPr>
        <w:rPr>
          <w:sz w:val="28"/>
          <w:szCs w:val="28"/>
        </w:rPr>
      </w:pPr>
    </w:p>
    <w:p w14:paraId="6C3F61C9" w14:textId="56974811" w:rsidR="006C2311" w:rsidRDefault="006C2311" w:rsidP="006C2311">
      <w:pPr>
        <w:rPr>
          <w:sz w:val="28"/>
          <w:szCs w:val="28"/>
        </w:rPr>
      </w:pPr>
    </w:p>
    <w:p w14:paraId="29E08E18" w14:textId="50970790" w:rsidR="00A23F5D" w:rsidRPr="001D3C6C" w:rsidRDefault="001D3C6C" w:rsidP="00A23F5D">
      <w:pPr>
        <w:rPr>
          <w:b/>
        </w:rPr>
      </w:pPr>
      <w:r w:rsidRPr="001D3C6C">
        <w:rPr>
          <w:b/>
        </w:rPr>
        <w:lastRenderedPageBreak/>
        <w:t xml:space="preserve">MATERNAL AND CHILD HEALTH </w:t>
      </w:r>
    </w:p>
    <w:p w14:paraId="1F7C7B12" w14:textId="72925B19" w:rsidR="004916A5" w:rsidRDefault="004916A5" w:rsidP="00A23F5D">
      <w:pPr>
        <w:rPr>
          <w:b/>
          <w:highlight w:val="yellow"/>
        </w:rPr>
      </w:pPr>
      <w:r>
        <w:rPr>
          <w:noProof/>
          <w:lang w:eastAsia="en-AU"/>
        </w:rPr>
        <w:drawing>
          <wp:inline distT="0" distB="0" distL="0" distR="0" wp14:anchorId="73BDBFBF" wp14:editId="5171F15B">
            <wp:extent cx="4572000" cy="2390775"/>
            <wp:effectExtent l="0" t="0" r="0" b="9525"/>
            <wp:docPr id="1" name="Chart 1">
              <a:extLst xmlns:a="http://schemas.openxmlformats.org/drawingml/2006/main">
                <a:ext uri="{FF2B5EF4-FFF2-40B4-BE49-F238E27FC236}">
                  <a16:creationId xmlns:a16="http://schemas.microsoft.com/office/drawing/2014/main" id="{4A22D33D-022D-4320-ACF9-866A9F90A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071CCB" w14:textId="77777777" w:rsidR="00833111" w:rsidRPr="00EF4622" w:rsidRDefault="00833111" w:rsidP="00833111">
      <w:pPr>
        <w:rPr>
          <w:bCs/>
        </w:rPr>
      </w:pPr>
      <w:r w:rsidRPr="00833111">
        <w:rPr>
          <w:bCs/>
        </w:rPr>
        <w:t>First time mothers</w:t>
      </w:r>
      <w:r w:rsidRPr="004916A5">
        <w:rPr>
          <w:bCs/>
        </w:rPr>
        <w:t xml:space="preserve"> 50 </w:t>
      </w:r>
      <w:r>
        <w:rPr>
          <w:bCs/>
        </w:rPr>
        <w:t>(2020 – 2021)</w:t>
      </w:r>
    </w:p>
    <w:p w14:paraId="753BE3FC" w14:textId="438601C0" w:rsidR="00810195" w:rsidRPr="0069253C" w:rsidRDefault="00833111" w:rsidP="00833111">
      <w:r w:rsidRPr="0069253C">
        <w:t>Ke</w:t>
      </w:r>
      <w:r w:rsidR="00810195" w:rsidRPr="0069253C">
        <w:t xml:space="preserve">y ages and stages </w:t>
      </w:r>
      <w:r w:rsidR="00810195">
        <w:t>Visits (all)</w:t>
      </w:r>
    </w:p>
    <w:tbl>
      <w:tblPr>
        <w:tblStyle w:val="TableGrid"/>
        <w:tblW w:w="0" w:type="auto"/>
        <w:tblLook w:val="04A0" w:firstRow="1" w:lastRow="0" w:firstColumn="1" w:lastColumn="0" w:noHBand="0" w:noVBand="1"/>
      </w:tblPr>
      <w:tblGrid>
        <w:gridCol w:w="977"/>
        <w:gridCol w:w="890"/>
        <w:gridCol w:w="890"/>
        <w:gridCol w:w="891"/>
        <w:gridCol w:w="892"/>
        <w:gridCol w:w="893"/>
        <w:gridCol w:w="902"/>
        <w:gridCol w:w="902"/>
        <w:gridCol w:w="884"/>
        <w:gridCol w:w="895"/>
      </w:tblGrid>
      <w:tr w:rsidR="00810195" w14:paraId="7908471A" w14:textId="77777777" w:rsidTr="00B52C93">
        <w:tc>
          <w:tcPr>
            <w:tcW w:w="901" w:type="dxa"/>
          </w:tcPr>
          <w:p w14:paraId="78B1E38C" w14:textId="02811F78" w:rsidR="00810195" w:rsidRDefault="00810195" w:rsidP="00833111">
            <w:r>
              <w:t>Home Consults</w:t>
            </w:r>
          </w:p>
        </w:tc>
        <w:tc>
          <w:tcPr>
            <w:tcW w:w="901" w:type="dxa"/>
          </w:tcPr>
          <w:p w14:paraId="0CF9D76B" w14:textId="57D309E8" w:rsidR="00810195" w:rsidRDefault="00810195" w:rsidP="00833111">
            <w:r>
              <w:t>2wks</w:t>
            </w:r>
          </w:p>
        </w:tc>
        <w:tc>
          <w:tcPr>
            <w:tcW w:w="901" w:type="dxa"/>
          </w:tcPr>
          <w:p w14:paraId="5B7379EE" w14:textId="396FB184" w:rsidR="00810195" w:rsidRDefault="00810195" w:rsidP="00833111">
            <w:r>
              <w:t>4wks</w:t>
            </w:r>
          </w:p>
        </w:tc>
        <w:tc>
          <w:tcPr>
            <w:tcW w:w="901" w:type="dxa"/>
          </w:tcPr>
          <w:p w14:paraId="781973E7" w14:textId="15CAAF26" w:rsidR="00810195" w:rsidRDefault="00810195" w:rsidP="00833111">
            <w:r>
              <w:t>8wks</w:t>
            </w:r>
          </w:p>
        </w:tc>
        <w:tc>
          <w:tcPr>
            <w:tcW w:w="901" w:type="dxa"/>
          </w:tcPr>
          <w:p w14:paraId="038059F6" w14:textId="3F1B3321" w:rsidR="00810195" w:rsidRDefault="00810195" w:rsidP="00833111">
            <w:r>
              <w:t>4mth</w:t>
            </w:r>
          </w:p>
        </w:tc>
        <w:tc>
          <w:tcPr>
            <w:tcW w:w="902" w:type="dxa"/>
          </w:tcPr>
          <w:p w14:paraId="6E07DB5A" w14:textId="3D7D9D5B" w:rsidR="00810195" w:rsidRDefault="00810195" w:rsidP="00833111">
            <w:r>
              <w:t>8mth</w:t>
            </w:r>
          </w:p>
        </w:tc>
        <w:tc>
          <w:tcPr>
            <w:tcW w:w="902" w:type="dxa"/>
          </w:tcPr>
          <w:p w14:paraId="3E76F33F" w14:textId="2B4DD3A3" w:rsidR="00810195" w:rsidRDefault="00810195" w:rsidP="00833111">
            <w:r>
              <w:t>12mths</w:t>
            </w:r>
          </w:p>
        </w:tc>
        <w:tc>
          <w:tcPr>
            <w:tcW w:w="902" w:type="dxa"/>
          </w:tcPr>
          <w:p w14:paraId="745E92EC" w14:textId="6D0003D5" w:rsidR="00810195" w:rsidRDefault="00810195" w:rsidP="00833111">
            <w:r>
              <w:t>18mths</w:t>
            </w:r>
          </w:p>
        </w:tc>
        <w:tc>
          <w:tcPr>
            <w:tcW w:w="902" w:type="dxa"/>
          </w:tcPr>
          <w:p w14:paraId="6B375C2C" w14:textId="123C384A" w:rsidR="00810195" w:rsidRDefault="00810195" w:rsidP="00833111">
            <w:r>
              <w:t>2ys</w:t>
            </w:r>
          </w:p>
        </w:tc>
        <w:tc>
          <w:tcPr>
            <w:tcW w:w="902" w:type="dxa"/>
          </w:tcPr>
          <w:p w14:paraId="45D7E850" w14:textId="08B290B6" w:rsidR="00810195" w:rsidRDefault="00810195" w:rsidP="00833111">
            <w:r>
              <w:t>3.5yrs</w:t>
            </w:r>
          </w:p>
        </w:tc>
      </w:tr>
      <w:tr w:rsidR="00810195" w14:paraId="463865A2" w14:textId="77777777" w:rsidTr="00B52C93">
        <w:tc>
          <w:tcPr>
            <w:tcW w:w="901" w:type="dxa"/>
          </w:tcPr>
          <w:p w14:paraId="4D9CAF00" w14:textId="7D51D6D8" w:rsidR="00810195" w:rsidRDefault="00810195" w:rsidP="00833111">
            <w:r>
              <w:t>118</w:t>
            </w:r>
          </w:p>
        </w:tc>
        <w:tc>
          <w:tcPr>
            <w:tcW w:w="901" w:type="dxa"/>
          </w:tcPr>
          <w:p w14:paraId="4600DB60" w14:textId="2C8579C3" w:rsidR="00810195" w:rsidRDefault="00810195" w:rsidP="00833111">
            <w:r>
              <w:t>117</w:t>
            </w:r>
          </w:p>
        </w:tc>
        <w:tc>
          <w:tcPr>
            <w:tcW w:w="901" w:type="dxa"/>
          </w:tcPr>
          <w:p w14:paraId="0EF264E6" w14:textId="3518F34B" w:rsidR="00810195" w:rsidRDefault="00810195" w:rsidP="00833111">
            <w:r>
              <w:t>112</w:t>
            </w:r>
          </w:p>
        </w:tc>
        <w:tc>
          <w:tcPr>
            <w:tcW w:w="901" w:type="dxa"/>
          </w:tcPr>
          <w:p w14:paraId="0415937D" w14:textId="0813DB0E" w:rsidR="00810195" w:rsidRDefault="00810195" w:rsidP="00833111">
            <w:r>
              <w:t>113</w:t>
            </w:r>
          </w:p>
        </w:tc>
        <w:tc>
          <w:tcPr>
            <w:tcW w:w="901" w:type="dxa"/>
          </w:tcPr>
          <w:p w14:paraId="4AC7E446" w14:textId="43B8F912" w:rsidR="00810195" w:rsidRDefault="00810195" w:rsidP="00833111">
            <w:r>
              <w:t>108</w:t>
            </w:r>
          </w:p>
        </w:tc>
        <w:tc>
          <w:tcPr>
            <w:tcW w:w="902" w:type="dxa"/>
          </w:tcPr>
          <w:p w14:paraId="718D1E4E" w14:textId="4154BB04" w:rsidR="00810195" w:rsidRDefault="00810195" w:rsidP="00833111">
            <w:r>
              <w:t>93</w:t>
            </w:r>
          </w:p>
        </w:tc>
        <w:tc>
          <w:tcPr>
            <w:tcW w:w="902" w:type="dxa"/>
          </w:tcPr>
          <w:p w14:paraId="4DD07E1C" w14:textId="76274508" w:rsidR="00810195" w:rsidRDefault="00810195" w:rsidP="00833111">
            <w:r>
              <w:t>105</w:t>
            </w:r>
          </w:p>
        </w:tc>
        <w:tc>
          <w:tcPr>
            <w:tcW w:w="902" w:type="dxa"/>
          </w:tcPr>
          <w:p w14:paraId="5282E80A" w14:textId="4902C2F3" w:rsidR="00810195" w:rsidRDefault="00810195" w:rsidP="00833111">
            <w:r>
              <w:t>111</w:t>
            </w:r>
          </w:p>
        </w:tc>
        <w:tc>
          <w:tcPr>
            <w:tcW w:w="902" w:type="dxa"/>
          </w:tcPr>
          <w:p w14:paraId="030CA8BE" w14:textId="67310E08" w:rsidR="00810195" w:rsidRDefault="00810195" w:rsidP="00833111">
            <w:r>
              <w:t>94</w:t>
            </w:r>
          </w:p>
        </w:tc>
        <w:tc>
          <w:tcPr>
            <w:tcW w:w="902" w:type="dxa"/>
          </w:tcPr>
          <w:p w14:paraId="17B24416" w14:textId="38321D8B" w:rsidR="00810195" w:rsidRDefault="00810195" w:rsidP="00833111">
            <w:r>
              <w:t>111</w:t>
            </w:r>
          </w:p>
        </w:tc>
      </w:tr>
    </w:tbl>
    <w:p w14:paraId="75CCA992" w14:textId="77777777" w:rsidR="00810195" w:rsidRPr="0069253C" w:rsidRDefault="00810195" w:rsidP="00833111"/>
    <w:p w14:paraId="03CDD686" w14:textId="77777777" w:rsidR="00833111" w:rsidRDefault="00833111" w:rsidP="00833111">
      <w:pPr>
        <w:rPr>
          <w:rFonts w:eastAsia="Times New Roman" w:cs="Times New Roman"/>
          <w:lang w:eastAsia="en-AU"/>
        </w:rPr>
      </w:pPr>
      <w:r w:rsidRPr="00460ADD">
        <w:t>Additional Consultations</w:t>
      </w:r>
      <w:r>
        <w:t xml:space="preserve"> outside of key ages and stages visits </w:t>
      </w:r>
      <w:r w:rsidRPr="00460ADD">
        <w:rPr>
          <w:rFonts w:eastAsia="Times New Roman" w:cs="Times New Roman"/>
          <w:lang w:eastAsia="en-AU"/>
        </w:rPr>
        <w:t>230.7</w:t>
      </w:r>
      <w:r>
        <w:rPr>
          <w:rFonts w:eastAsia="Times New Roman" w:cs="Times New Roman"/>
          <w:lang w:eastAsia="en-AU"/>
        </w:rPr>
        <w:t xml:space="preserve"> (approximately 5 per week) which is considered to be high. Additional visits have primarily been for emotional well-being.</w:t>
      </w:r>
    </w:p>
    <w:p w14:paraId="5B5596FF" w14:textId="77777777" w:rsidR="005C4927" w:rsidRDefault="005C4927" w:rsidP="005C4927">
      <w:pPr>
        <w:rPr>
          <w:rFonts w:eastAsia="Times New Roman" w:cs="Arial"/>
          <w:color w:val="000000"/>
          <w:lang w:eastAsia="en-AU"/>
        </w:rPr>
      </w:pPr>
      <w:r>
        <w:rPr>
          <w:rFonts w:eastAsia="Times New Roman" w:cs="Arial"/>
          <w:color w:val="000000"/>
          <w:lang w:eastAsia="en-AU"/>
        </w:rPr>
        <w:t>83</w:t>
      </w:r>
      <w:r w:rsidRPr="00166B54">
        <w:rPr>
          <w:rFonts w:eastAsia="Times New Roman" w:cs="Arial"/>
          <w:color w:val="000000"/>
          <w:lang w:eastAsia="en-AU"/>
        </w:rPr>
        <w:t>% of Aboriginal children (0-3.5yrs) enrolled who participate in the MCH service</w:t>
      </w:r>
      <w:r>
        <w:rPr>
          <w:rFonts w:eastAsia="Times New Roman" w:cs="Arial"/>
          <w:color w:val="000000"/>
          <w:lang w:eastAsia="en-AU"/>
        </w:rPr>
        <w:t>.</w:t>
      </w:r>
      <w:r w:rsidRPr="00166B54">
        <w:rPr>
          <w:rFonts w:eastAsia="Times New Roman" w:cs="Arial"/>
          <w:color w:val="000000"/>
          <w:lang w:eastAsia="en-AU"/>
        </w:rPr>
        <w:t xml:space="preserve"> </w:t>
      </w:r>
    </w:p>
    <w:p w14:paraId="0AAB9478" w14:textId="77777777" w:rsidR="00833111" w:rsidRPr="0069253C" w:rsidRDefault="00833111" w:rsidP="00833111">
      <w:pPr>
        <w:rPr>
          <w:highlight w:val="yellow"/>
        </w:rPr>
      </w:pPr>
      <w:r w:rsidRPr="0069253C">
        <w:t xml:space="preserve">Immunisations </w:t>
      </w:r>
      <w:r>
        <w:t>remain</w:t>
      </w:r>
      <w:r w:rsidRPr="0069253C">
        <w:t xml:space="preserve"> consistently high over </w:t>
      </w:r>
      <w:r>
        <w:t xml:space="preserve">all ages. 714 </w:t>
      </w:r>
      <w:r>
        <w:rPr>
          <w:rFonts w:eastAsia="Times New Roman" w:cs="Times New Roman"/>
          <w:lang w:eastAsia="en-AU"/>
        </w:rPr>
        <w:t>immunisations were</w:t>
      </w:r>
      <w:r>
        <w:t xml:space="preserve"> opportunistic.</w:t>
      </w:r>
    </w:p>
    <w:p w14:paraId="396DA95D" w14:textId="342A3B32" w:rsidR="00833111" w:rsidRPr="002B7AD4" w:rsidRDefault="00833111" w:rsidP="00FD3F47">
      <w:r w:rsidRPr="0069253C">
        <w:t>As m</w:t>
      </w:r>
      <w:r>
        <w:t>entioned in the Restacking the O</w:t>
      </w:r>
      <w:r w:rsidRPr="0069253C">
        <w:t xml:space="preserve">dds Report, </w:t>
      </w:r>
      <w:r>
        <w:t>parent group a</w:t>
      </w:r>
      <w:r w:rsidRPr="0069253C">
        <w:t>ttendance</w:t>
      </w:r>
      <w:r>
        <w:t xml:space="preserve"> has been less than</w:t>
      </w:r>
      <w:r w:rsidRPr="0069253C">
        <w:t xml:space="preserve"> 3%</w:t>
      </w:r>
    </w:p>
    <w:p w14:paraId="68291ED5" w14:textId="51857057" w:rsidR="00FE73EB" w:rsidRDefault="00833111" w:rsidP="00E04438">
      <w:r w:rsidRPr="001D3C6C">
        <w:t>Breastfeeding</w:t>
      </w:r>
      <w:r>
        <w:t>: 1st</w:t>
      </w:r>
      <w:r w:rsidR="00E04438">
        <w:t xml:space="preserve"> July 2019 to 30</w:t>
      </w:r>
      <w:r w:rsidR="00E04438" w:rsidRPr="00E04438">
        <w:rPr>
          <w:vertAlign w:val="superscript"/>
        </w:rPr>
        <w:t>th</w:t>
      </w:r>
      <w:r w:rsidR="00E04438">
        <w:t xml:space="preserve"> June 2020</w:t>
      </w:r>
    </w:p>
    <w:tbl>
      <w:tblPr>
        <w:tblStyle w:val="TableGrid"/>
        <w:tblW w:w="0" w:type="auto"/>
        <w:tblLook w:val="04A0" w:firstRow="1" w:lastRow="0" w:firstColumn="1" w:lastColumn="0" w:noHBand="0" w:noVBand="1"/>
      </w:tblPr>
      <w:tblGrid>
        <w:gridCol w:w="1696"/>
        <w:gridCol w:w="2268"/>
        <w:gridCol w:w="1972"/>
      </w:tblGrid>
      <w:tr w:rsidR="00833111" w14:paraId="666C999B" w14:textId="77777777" w:rsidTr="00833111">
        <w:tc>
          <w:tcPr>
            <w:tcW w:w="1696" w:type="dxa"/>
          </w:tcPr>
          <w:p w14:paraId="749C8235" w14:textId="77777777" w:rsidR="00833111" w:rsidRDefault="00833111" w:rsidP="00FE73EB"/>
        </w:tc>
        <w:tc>
          <w:tcPr>
            <w:tcW w:w="2268" w:type="dxa"/>
          </w:tcPr>
          <w:p w14:paraId="333C3460" w14:textId="05E9A404" w:rsidR="00833111" w:rsidRDefault="00833111" w:rsidP="00FE73EB">
            <w:r>
              <w:t># Fully Breastfed</w:t>
            </w:r>
          </w:p>
        </w:tc>
        <w:tc>
          <w:tcPr>
            <w:tcW w:w="1972" w:type="dxa"/>
          </w:tcPr>
          <w:p w14:paraId="74340577" w14:textId="32171C23" w:rsidR="00833111" w:rsidRDefault="00833111" w:rsidP="00FE73EB">
            <w:r>
              <w:t># Partially Breastfed</w:t>
            </w:r>
          </w:p>
        </w:tc>
      </w:tr>
      <w:tr w:rsidR="00833111" w14:paraId="7927A684" w14:textId="77777777" w:rsidTr="00833111">
        <w:tc>
          <w:tcPr>
            <w:tcW w:w="1696" w:type="dxa"/>
          </w:tcPr>
          <w:p w14:paraId="09DED506" w14:textId="3CA457F1" w:rsidR="00833111" w:rsidRDefault="00833111" w:rsidP="00FE73EB">
            <w:r>
              <w:t>On Discharge</w:t>
            </w:r>
          </w:p>
        </w:tc>
        <w:tc>
          <w:tcPr>
            <w:tcW w:w="2268" w:type="dxa"/>
          </w:tcPr>
          <w:p w14:paraId="449EFEDA" w14:textId="05C75182" w:rsidR="00833111" w:rsidRDefault="00833111" w:rsidP="00FE73EB">
            <w:r>
              <w:t>70</w:t>
            </w:r>
          </w:p>
        </w:tc>
        <w:tc>
          <w:tcPr>
            <w:tcW w:w="1972" w:type="dxa"/>
          </w:tcPr>
          <w:p w14:paraId="00748CA9" w14:textId="3755FEBA" w:rsidR="00833111" w:rsidRDefault="00833111" w:rsidP="00FE73EB">
            <w:r>
              <w:t>8</w:t>
            </w:r>
          </w:p>
        </w:tc>
      </w:tr>
      <w:tr w:rsidR="00833111" w14:paraId="54F07F00" w14:textId="77777777" w:rsidTr="00833111">
        <w:tc>
          <w:tcPr>
            <w:tcW w:w="1696" w:type="dxa"/>
          </w:tcPr>
          <w:p w14:paraId="403D3C95" w14:textId="07CE970A" w:rsidR="00833111" w:rsidRDefault="00833111" w:rsidP="00FE73EB">
            <w:r w:rsidRPr="00E04438">
              <w:rPr>
                <w:rFonts w:eastAsia="Times New Roman" w:cstheme="minorHAnsi"/>
                <w:lang w:eastAsia="en-AU"/>
              </w:rPr>
              <w:t>A</w:t>
            </w:r>
            <w:r>
              <w:rPr>
                <w:rFonts w:eastAsia="Times New Roman" w:cstheme="minorHAnsi"/>
                <w:lang w:eastAsia="en-AU"/>
              </w:rPr>
              <w:t xml:space="preserve">t </w:t>
            </w:r>
            <w:r w:rsidRPr="00E04438">
              <w:rPr>
                <w:rFonts w:eastAsia="Times New Roman" w:cstheme="minorHAnsi"/>
                <w:lang w:eastAsia="en-AU"/>
              </w:rPr>
              <w:t>2 Weeks</w:t>
            </w:r>
          </w:p>
        </w:tc>
        <w:tc>
          <w:tcPr>
            <w:tcW w:w="2268" w:type="dxa"/>
          </w:tcPr>
          <w:p w14:paraId="0849EEF5" w14:textId="3B32886F" w:rsidR="00833111" w:rsidRDefault="00833111" w:rsidP="00FE73EB">
            <w:r>
              <w:t>65</w:t>
            </w:r>
          </w:p>
        </w:tc>
        <w:tc>
          <w:tcPr>
            <w:tcW w:w="1972" w:type="dxa"/>
          </w:tcPr>
          <w:p w14:paraId="7B0F1AA9" w14:textId="791A0361" w:rsidR="00833111" w:rsidRDefault="00833111" w:rsidP="00FE73EB">
            <w:r>
              <w:t>5</w:t>
            </w:r>
          </w:p>
        </w:tc>
      </w:tr>
      <w:tr w:rsidR="00833111" w14:paraId="271CBDAE" w14:textId="77777777" w:rsidTr="00833111">
        <w:tc>
          <w:tcPr>
            <w:tcW w:w="1696" w:type="dxa"/>
          </w:tcPr>
          <w:p w14:paraId="2944F439" w14:textId="1B850FFC" w:rsidR="00833111" w:rsidRDefault="00833111" w:rsidP="00FE73EB">
            <w:r w:rsidRPr="00E04438">
              <w:rPr>
                <w:rFonts w:eastAsia="Times New Roman" w:cstheme="minorHAnsi"/>
                <w:lang w:eastAsia="en-AU"/>
              </w:rPr>
              <w:t xml:space="preserve">At </w:t>
            </w:r>
            <w:r>
              <w:rPr>
                <w:rFonts w:eastAsia="Times New Roman" w:cstheme="minorHAnsi"/>
                <w:lang w:eastAsia="en-AU"/>
              </w:rPr>
              <w:t>3</w:t>
            </w:r>
            <w:r w:rsidRPr="00E04438">
              <w:rPr>
                <w:rFonts w:eastAsia="Times New Roman" w:cstheme="minorHAnsi"/>
                <w:lang w:eastAsia="en-AU"/>
              </w:rPr>
              <w:t xml:space="preserve"> Months</w:t>
            </w:r>
          </w:p>
        </w:tc>
        <w:tc>
          <w:tcPr>
            <w:tcW w:w="2268" w:type="dxa"/>
          </w:tcPr>
          <w:p w14:paraId="555A04A6" w14:textId="469D8B5A" w:rsidR="00833111" w:rsidRDefault="00833111" w:rsidP="00FE73EB">
            <w:r>
              <w:t>44</w:t>
            </w:r>
          </w:p>
        </w:tc>
        <w:tc>
          <w:tcPr>
            <w:tcW w:w="1972" w:type="dxa"/>
          </w:tcPr>
          <w:p w14:paraId="07FB1C7C" w14:textId="0DB98799" w:rsidR="00833111" w:rsidRDefault="00833111" w:rsidP="00FE73EB">
            <w:r>
              <w:t>11</w:t>
            </w:r>
          </w:p>
        </w:tc>
      </w:tr>
      <w:tr w:rsidR="00833111" w14:paraId="506F48DD" w14:textId="77777777" w:rsidTr="00833111">
        <w:tc>
          <w:tcPr>
            <w:tcW w:w="1696" w:type="dxa"/>
          </w:tcPr>
          <w:p w14:paraId="14A5815F" w14:textId="5AC2F69C" w:rsidR="00833111" w:rsidRDefault="00833111" w:rsidP="00FE73EB">
            <w:r w:rsidRPr="00E04438">
              <w:rPr>
                <w:rFonts w:eastAsia="Times New Roman" w:cstheme="minorHAnsi"/>
                <w:lang w:eastAsia="en-AU"/>
              </w:rPr>
              <w:t>At 6 Months</w:t>
            </w:r>
          </w:p>
        </w:tc>
        <w:tc>
          <w:tcPr>
            <w:tcW w:w="2268" w:type="dxa"/>
          </w:tcPr>
          <w:p w14:paraId="2C60E617" w14:textId="5157CAFF" w:rsidR="00833111" w:rsidRDefault="00833111" w:rsidP="00FE73EB">
            <w:r>
              <w:t>18</w:t>
            </w:r>
          </w:p>
        </w:tc>
        <w:tc>
          <w:tcPr>
            <w:tcW w:w="1972" w:type="dxa"/>
          </w:tcPr>
          <w:p w14:paraId="5513D9E4" w14:textId="3B86F2BD" w:rsidR="00833111" w:rsidRDefault="00833111" w:rsidP="00FE73EB">
            <w:r>
              <w:t>22</w:t>
            </w:r>
          </w:p>
        </w:tc>
      </w:tr>
      <w:tr w:rsidR="00833111" w14:paraId="6121847A" w14:textId="77777777" w:rsidTr="00833111">
        <w:tc>
          <w:tcPr>
            <w:tcW w:w="1696" w:type="dxa"/>
          </w:tcPr>
          <w:p w14:paraId="584B1509" w14:textId="16543738" w:rsidR="00833111" w:rsidRDefault="00833111" w:rsidP="00FE73EB"/>
        </w:tc>
        <w:tc>
          <w:tcPr>
            <w:tcW w:w="2268" w:type="dxa"/>
          </w:tcPr>
          <w:p w14:paraId="5372D070" w14:textId="77777777" w:rsidR="00833111" w:rsidRDefault="00833111" w:rsidP="00FE73EB"/>
        </w:tc>
        <w:tc>
          <w:tcPr>
            <w:tcW w:w="1972" w:type="dxa"/>
          </w:tcPr>
          <w:p w14:paraId="52FF7E37" w14:textId="77777777" w:rsidR="00833111" w:rsidRDefault="00833111" w:rsidP="00FE73EB"/>
        </w:tc>
      </w:tr>
    </w:tbl>
    <w:p w14:paraId="6F01C91F" w14:textId="583D3BA9" w:rsidR="00E04438" w:rsidRDefault="00E04438" w:rsidP="00E04438"/>
    <w:p w14:paraId="64AE6BF5" w14:textId="77777777" w:rsidR="005C4927" w:rsidRDefault="005C4927" w:rsidP="00744DC5">
      <w:pPr>
        <w:rPr>
          <w:bCs/>
        </w:rPr>
      </w:pPr>
    </w:p>
    <w:p w14:paraId="551FFBE3" w14:textId="215C156B" w:rsidR="00A23F5D" w:rsidRPr="005C4927" w:rsidRDefault="009E757D" w:rsidP="00744DC5">
      <w:pPr>
        <w:rPr>
          <w:b/>
        </w:rPr>
      </w:pPr>
      <w:r w:rsidRPr="005C4927">
        <w:rPr>
          <w:b/>
        </w:rPr>
        <w:t>Teenage Births (2018)</w:t>
      </w:r>
    </w:p>
    <w:p w14:paraId="7083F3AB" w14:textId="3D982E06" w:rsidR="009E757D" w:rsidRPr="009E757D" w:rsidRDefault="009E757D" w:rsidP="009E757D">
      <w:pPr>
        <w:rPr>
          <w:bCs/>
        </w:rPr>
      </w:pPr>
      <w:r w:rsidRPr="009E757D">
        <w:rPr>
          <w:bCs/>
        </w:rPr>
        <w:t>Number of live births per 1000 to women aged 13-19 in the period Jan 2017 – December 2018</w:t>
      </w:r>
    </w:p>
    <w:tbl>
      <w:tblPr>
        <w:tblStyle w:val="TableGrid"/>
        <w:tblW w:w="0" w:type="auto"/>
        <w:tblLook w:val="04A0" w:firstRow="1" w:lastRow="0" w:firstColumn="1" w:lastColumn="0" w:noHBand="0" w:noVBand="1"/>
      </w:tblPr>
      <w:tblGrid>
        <w:gridCol w:w="3005"/>
        <w:gridCol w:w="3005"/>
        <w:gridCol w:w="3006"/>
      </w:tblGrid>
      <w:tr w:rsidR="009E757D" w:rsidRPr="009E757D" w14:paraId="3C998AF0" w14:textId="77777777" w:rsidTr="009E757D">
        <w:tc>
          <w:tcPr>
            <w:tcW w:w="3005" w:type="dxa"/>
          </w:tcPr>
          <w:p w14:paraId="65CCF3A5" w14:textId="07C3A7EB" w:rsidR="009E757D" w:rsidRPr="009E757D" w:rsidRDefault="009E757D" w:rsidP="00FD3F47">
            <w:pPr>
              <w:jc w:val="right"/>
              <w:rPr>
                <w:bCs/>
              </w:rPr>
            </w:pPr>
            <w:r w:rsidRPr="009E757D">
              <w:rPr>
                <w:bCs/>
              </w:rPr>
              <w:t>Central Goldfields</w:t>
            </w:r>
          </w:p>
        </w:tc>
        <w:tc>
          <w:tcPr>
            <w:tcW w:w="3005" w:type="dxa"/>
          </w:tcPr>
          <w:p w14:paraId="02ABF83B" w14:textId="6331779C" w:rsidR="009E757D" w:rsidRPr="009E757D" w:rsidRDefault="009E757D" w:rsidP="00FD3F47">
            <w:pPr>
              <w:jc w:val="right"/>
              <w:rPr>
                <w:bCs/>
              </w:rPr>
            </w:pPr>
            <w:r w:rsidRPr="009E757D">
              <w:rPr>
                <w:bCs/>
              </w:rPr>
              <w:t>Loddon Mallee Region</w:t>
            </w:r>
          </w:p>
        </w:tc>
        <w:tc>
          <w:tcPr>
            <w:tcW w:w="3006" w:type="dxa"/>
          </w:tcPr>
          <w:p w14:paraId="1A5EA981" w14:textId="7F261804" w:rsidR="009E757D" w:rsidRPr="009E757D" w:rsidRDefault="009E757D" w:rsidP="00FD3F47">
            <w:pPr>
              <w:jc w:val="right"/>
              <w:rPr>
                <w:bCs/>
              </w:rPr>
            </w:pPr>
            <w:r w:rsidRPr="009E757D">
              <w:rPr>
                <w:bCs/>
              </w:rPr>
              <w:t>State Average</w:t>
            </w:r>
          </w:p>
        </w:tc>
      </w:tr>
      <w:tr w:rsidR="009E757D" w:rsidRPr="009E757D" w14:paraId="01A510BB" w14:textId="77777777" w:rsidTr="009E757D">
        <w:tc>
          <w:tcPr>
            <w:tcW w:w="3005" w:type="dxa"/>
          </w:tcPr>
          <w:p w14:paraId="6973F832" w14:textId="31025392" w:rsidR="009E757D" w:rsidRPr="009E757D" w:rsidRDefault="009E757D" w:rsidP="00FD3F47">
            <w:pPr>
              <w:jc w:val="right"/>
              <w:rPr>
                <w:bCs/>
              </w:rPr>
            </w:pPr>
            <w:r w:rsidRPr="009E757D">
              <w:rPr>
                <w:bCs/>
              </w:rPr>
              <w:t>16.91</w:t>
            </w:r>
          </w:p>
        </w:tc>
        <w:tc>
          <w:tcPr>
            <w:tcW w:w="3005" w:type="dxa"/>
          </w:tcPr>
          <w:p w14:paraId="21057C4B" w14:textId="1DD4F91C" w:rsidR="009E757D" w:rsidRPr="009E757D" w:rsidRDefault="009E757D" w:rsidP="00FD3F47">
            <w:pPr>
              <w:jc w:val="right"/>
              <w:rPr>
                <w:bCs/>
              </w:rPr>
            </w:pPr>
            <w:r w:rsidRPr="009E757D">
              <w:rPr>
                <w:bCs/>
              </w:rPr>
              <w:t>13.3</w:t>
            </w:r>
          </w:p>
        </w:tc>
        <w:tc>
          <w:tcPr>
            <w:tcW w:w="3006" w:type="dxa"/>
          </w:tcPr>
          <w:p w14:paraId="6A7E12D3" w14:textId="10680BE2" w:rsidR="009E757D" w:rsidRPr="009E757D" w:rsidRDefault="009E757D" w:rsidP="00FD3F47">
            <w:pPr>
              <w:jc w:val="right"/>
              <w:rPr>
                <w:bCs/>
              </w:rPr>
            </w:pPr>
            <w:r w:rsidRPr="009E757D">
              <w:rPr>
                <w:bCs/>
              </w:rPr>
              <w:t>9.5</w:t>
            </w:r>
          </w:p>
        </w:tc>
      </w:tr>
    </w:tbl>
    <w:p w14:paraId="20BFCDED" w14:textId="5A78E920" w:rsidR="00833111" w:rsidRDefault="00833111" w:rsidP="009E757D">
      <w:pPr>
        <w:spacing w:before="240"/>
        <w:rPr>
          <w:b/>
        </w:rPr>
      </w:pPr>
    </w:p>
    <w:p w14:paraId="3ECC16C9" w14:textId="652A3F00" w:rsidR="009E757D" w:rsidRDefault="009E757D" w:rsidP="009E757D">
      <w:pPr>
        <w:spacing w:before="240"/>
        <w:rPr>
          <w:b/>
        </w:rPr>
      </w:pPr>
      <w:r>
        <w:rPr>
          <w:b/>
        </w:rPr>
        <w:t xml:space="preserve">DISABILITY </w:t>
      </w:r>
    </w:p>
    <w:p w14:paraId="3692F762" w14:textId="77777777" w:rsidR="009E757D" w:rsidRPr="00E17416" w:rsidRDefault="009E757D" w:rsidP="009E757D">
      <w:pPr>
        <w:spacing w:after="0" w:line="240" w:lineRule="auto"/>
      </w:pPr>
      <w:r>
        <w:t>According to the Australian Bureau of Statistics</w:t>
      </w:r>
      <w:r>
        <w:rPr>
          <w:rFonts w:ascii="Segoe UI" w:hAnsi="Segoe UI" w:cs="Segoe UI"/>
          <w:color w:val="000000"/>
          <w:sz w:val="20"/>
          <w:szCs w:val="20"/>
          <w:shd w:val="clear" w:color="auto" w:fill="FFFFFF"/>
        </w:rPr>
        <w:t>, 29.4% people in Central Goldfields identify as living with a disability.</w:t>
      </w:r>
      <w:r w:rsidRPr="00DF2214">
        <w:t xml:space="preserve"> </w:t>
      </w:r>
      <w:r>
        <w:t xml:space="preserve">(2016) and 16.2% of people in Central Goldfields are </w:t>
      </w:r>
      <w:r w:rsidRPr="001439AD">
        <w:rPr>
          <w:bCs/>
        </w:rPr>
        <w:t>Disability support recipients</w:t>
      </w:r>
      <w:r>
        <w:rPr>
          <w:bCs/>
        </w:rPr>
        <w:t>, compared to</w:t>
      </w:r>
      <w:r w:rsidRPr="001439AD">
        <w:rPr>
          <w:bCs/>
        </w:rPr>
        <w:t xml:space="preserve"> </w:t>
      </w:r>
      <w:r>
        <w:t>4.9% in Victoria</w:t>
      </w:r>
      <w:r w:rsidRPr="001439AD">
        <w:rPr>
          <w:bCs/>
        </w:rPr>
        <w:t xml:space="preserve"> (2017)</w:t>
      </w:r>
    </w:p>
    <w:p w14:paraId="3F2946B0" w14:textId="77777777" w:rsidR="009E757D" w:rsidRDefault="009E757D" w:rsidP="009E757D">
      <w:pPr>
        <w:spacing w:before="240"/>
        <w:rPr>
          <w:b/>
        </w:rPr>
      </w:pPr>
      <w:r>
        <w:rPr>
          <w:b/>
        </w:rPr>
        <w:t>NDIS data</w:t>
      </w:r>
    </w:p>
    <w:p w14:paraId="2D89B0D8" w14:textId="77777777" w:rsidR="009E757D" w:rsidRPr="006C2311" w:rsidRDefault="009E757D" w:rsidP="009E757D">
      <w:pPr>
        <w:spacing w:before="240"/>
        <w:rPr>
          <w:bCs/>
        </w:rPr>
      </w:pPr>
      <w:r w:rsidRPr="00286FE1">
        <w:rPr>
          <w:bCs/>
        </w:rPr>
        <w:t xml:space="preserve">This data forecasts the number of people in </w:t>
      </w:r>
      <w:r>
        <w:rPr>
          <w:bCs/>
        </w:rPr>
        <w:t>Central Goldfields</w:t>
      </w:r>
      <w:r w:rsidRPr="00286FE1">
        <w:rPr>
          <w:bCs/>
        </w:rPr>
        <w:t xml:space="preserve"> requiring NDIS support and costings. The following </w:t>
      </w:r>
      <w:r>
        <w:rPr>
          <w:bCs/>
        </w:rPr>
        <w:t>are</w:t>
      </w:r>
      <w:r w:rsidRPr="00286FE1">
        <w:rPr>
          <w:bCs/>
        </w:rPr>
        <w:t xml:space="preserve"> the projections for 2023. Estimated costings are just over $</w:t>
      </w:r>
      <w:r>
        <w:rPr>
          <w:bCs/>
        </w:rPr>
        <w:t>44.6</w:t>
      </w:r>
      <w:r w:rsidRPr="00286FE1">
        <w:rPr>
          <w:bCs/>
        </w:rPr>
        <w:t>million.</w:t>
      </w:r>
    </w:p>
    <w:p w14:paraId="16521F52" w14:textId="77777777" w:rsidR="009E757D" w:rsidRPr="00EB70A7" w:rsidRDefault="009E757D" w:rsidP="009E757D">
      <w:r>
        <w:rPr>
          <w:noProof/>
          <w:lang w:eastAsia="en-AU"/>
        </w:rPr>
        <w:drawing>
          <wp:inline distT="0" distB="0" distL="0" distR="0" wp14:anchorId="7107E305" wp14:editId="569D24CF">
            <wp:extent cx="4572000" cy="2743200"/>
            <wp:effectExtent l="0" t="0" r="0" b="0"/>
            <wp:docPr id="3" name="Chart 3">
              <a:extLst xmlns:a="http://schemas.openxmlformats.org/drawingml/2006/main">
                <a:ext uri="{FF2B5EF4-FFF2-40B4-BE49-F238E27FC236}">
                  <a16:creationId xmlns:a16="http://schemas.microsoft.com/office/drawing/2014/main" id="{1D85D76D-1DE2-4630-9430-D496891D90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883FE3" w14:textId="77777777" w:rsidR="009E757D" w:rsidRPr="00EB70A7" w:rsidRDefault="009E757D" w:rsidP="009E757D">
      <w:pPr>
        <w:tabs>
          <w:tab w:val="left" w:pos="1875"/>
        </w:tabs>
      </w:pPr>
      <w:r>
        <w:rPr>
          <w:noProof/>
        </w:rPr>
        <w:t>Please note that this data does not include people who are not registered with NDIS therefore the numbers of experiencing disability within their families and requiring services with be significantly higher.</w:t>
      </w:r>
    </w:p>
    <w:p w14:paraId="09DF80A9" w14:textId="4DEA156D" w:rsidR="009E757D" w:rsidRDefault="009E757D" w:rsidP="00A23F5D">
      <w:pPr>
        <w:rPr>
          <w:b/>
        </w:rPr>
      </w:pPr>
    </w:p>
    <w:p w14:paraId="2844CE1E" w14:textId="72A40E5E" w:rsidR="009E757D" w:rsidRDefault="009E757D" w:rsidP="00A23F5D">
      <w:pPr>
        <w:rPr>
          <w:b/>
        </w:rPr>
      </w:pPr>
    </w:p>
    <w:p w14:paraId="1AC81234" w14:textId="086F17A8" w:rsidR="009E757D" w:rsidRDefault="009E757D" w:rsidP="00A23F5D">
      <w:pPr>
        <w:rPr>
          <w:b/>
        </w:rPr>
      </w:pPr>
    </w:p>
    <w:p w14:paraId="28EB3571" w14:textId="626DE65F" w:rsidR="009E757D" w:rsidRDefault="009E757D" w:rsidP="00A23F5D">
      <w:pPr>
        <w:rPr>
          <w:b/>
        </w:rPr>
      </w:pPr>
    </w:p>
    <w:p w14:paraId="2D2BBECD" w14:textId="024394B8" w:rsidR="009E757D" w:rsidRDefault="009E757D" w:rsidP="00A23F5D">
      <w:pPr>
        <w:rPr>
          <w:b/>
        </w:rPr>
      </w:pPr>
    </w:p>
    <w:p w14:paraId="75AD0CF0" w14:textId="0AD658F1" w:rsidR="009E757D" w:rsidRDefault="009E757D" w:rsidP="00A23F5D">
      <w:pPr>
        <w:rPr>
          <w:b/>
        </w:rPr>
      </w:pPr>
    </w:p>
    <w:p w14:paraId="5C1EC26E" w14:textId="2315EE99" w:rsidR="009E757D" w:rsidRDefault="009E757D" w:rsidP="00A23F5D">
      <w:pPr>
        <w:rPr>
          <w:b/>
        </w:rPr>
      </w:pPr>
    </w:p>
    <w:p w14:paraId="1B6F27FE" w14:textId="125E0EE6" w:rsidR="009E757D" w:rsidRDefault="009E757D" w:rsidP="00A23F5D">
      <w:pPr>
        <w:rPr>
          <w:b/>
        </w:rPr>
      </w:pPr>
    </w:p>
    <w:p w14:paraId="3D6E35F1" w14:textId="481834B8" w:rsidR="009E757D" w:rsidRDefault="009E757D" w:rsidP="00A23F5D">
      <w:pPr>
        <w:rPr>
          <w:b/>
        </w:rPr>
      </w:pPr>
    </w:p>
    <w:p w14:paraId="63AB4C56" w14:textId="3D9C62BF" w:rsidR="009E757D" w:rsidRDefault="009E757D" w:rsidP="00A23F5D">
      <w:pPr>
        <w:rPr>
          <w:b/>
        </w:rPr>
      </w:pPr>
    </w:p>
    <w:p w14:paraId="33851B9E" w14:textId="4A3FCC21" w:rsidR="009E757D" w:rsidRDefault="009E757D" w:rsidP="00A23F5D">
      <w:pPr>
        <w:rPr>
          <w:b/>
        </w:rPr>
      </w:pPr>
    </w:p>
    <w:p w14:paraId="0C86E462" w14:textId="2DF447A3" w:rsidR="00FD3F47" w:rsidRDefault="00FD3F47" w:rsidP="00A23F5D">
      <w:pPr>
        <w:rPr>
          <w:b/>
        </w:rPr>
      </w:pPr>
    </w:p>
    <w:p w14:paraId="35572BCE" w14:textId="37E4CBA1" w:rsidR="00FD3F47" w:rsidRPr="005C4927" w:rsidRDefault="00FD3F47" w:rsidP="00A23F5D">
      <w:pPr>
        <w:pStyle w:val="ListParagraph"/>
        <w:numPr>
          <w:ilvl w:val="0"/>
          <w:numId w:val="16"/>
        </w:numPr>
        <w:rPr>
          <w:b/>
          <w:sz w:val="28"/>
          <w:szCs w:val="28"/>
        </w:rPr>
      </w:pPr>
      <w:r>
        <w:rPr>
          <w:b/>
          <w:sz w:val="28"/>
          <w:szCs w:val="28"/>
        </w:rPr>
        <w:t>CONSULTATIONS SPECIFIC TO CENTRAL GOLDFIELDS</w:t>
      </w:r>
    </w:p>
    <w:p w14:paraId="470F085C" w14:textId="51581404" w:rsidR="00A23F5D" w:rsidRDefault="00542CD5" w:rsidP="00A23F5D">
      <w:pPr>
        <w:rPr>
          <w:b/>
        </w:rPr>
      </w:pPr>
      <w:r>
        <w:rPr>
          <w:b/>
        </w:rPr>
        <w:t xml:space="preserve">BEST START – PARENT CONSULTATION </w:t>
      </w:r>
      <w:r w:rsidR="00FB55C3">
        <w:rPr>
          <w:b/>
        </w:rPr>
        <w:t xml:space="preserve">(2020 – </w:t>
      </w:r>
      <w:r>
        <w:rPr>
          <w:b/>
        </w:rPr>
        <w:t>2021</w:t>
      </w:r>
      <w:r w:rsidR="00FB55C3">
        <w:rPr>
          <w:b/>
        </w:rPr>
        <w:t>)</w:t>
      </w:r>
      <w:r>
        <w:rPr>
          <w:b/>
        </w:rPr>
        <w:t xml:space="preserve"> </w:t>
      </w:r>
    </w:p>
    <w:p w14:paraId="5EB37732" w14:textId="4B36C1F4" w:rsidR="00EB70A7" w:rsidRPr="00EB70A7" w:rsidRDefault="00542CD5" w:rsidP="00542CD5">
      <w:pPr>
        <w:rPr>
          <w:rFonts w:cstheme="minorHAnsi"/>
        </w:rPr>
      </w:pPr>
      <w:r w:rsidRPr="00EB70A7">
        <w:rPr>
          <w:rFonts w:cstheme="minorHAnsi"/>
        </w:rPr>
        <w:t xml:space="preserve">KEY </w:t>
      </w:r>
      <w:r w:rsidR="00EB70A7" w:rsidRPr="00EB70A7">
        <w:rPr>
          <w:rFonts w:cstheme="minorHAnsi"/>
        </w:rPr>
        <w:t>POINTS:</w:t>
      </w:r>
      <w:r w:rsidRPr="00EB70A7">
        <w:rPr>
          <w:rFonts w:cstheme="minorHAnsi"/>
        </w:rPr>
        <w:t xml:space="preserve"> </w:t>
      </w:r>
    </w:p>
    <w:p w14:paraId="3662B120" w14:textId="30EBBCB7" w:rsidR="00542CD5" w:rsidRPr="00EB70A7" w:rsidRDefault="00542CD5" w:rsidP="00542CD5">
      <w:pPr>
        <w:rPr>
          <w:rFonts w:cstheme="minorHAnsi"/>
        </w:rPr>
      </w:pPr>
      <w:r w:rsidRPr="00EB70A7">
        <w:rPr>
          <w:rFonts w:cstheme="minorHAnsi"/>
        </w:rPr>
        <w:t>Access to services</w:t>
      </w:r>
    </w:p>
    <w:p w14:paraId="7B8D9D01" w14:textId="043B5313" w:rsidR="00542CD5" w:rsidRPr="00EB70A7" w:rsidRDefault="00542CD5" w:rsidP="005C4927">
      <w:pPr>
        <w:pStyle w:val="ListParagraph"/>
        <w:numPr>
          <w:ilvl w:val="0"/>
          <w:numId w:val="10"/>
        </w:numPr>
        <w:spacing w:before="120" w:after="120"/>
        <w:ind w:left="284" w:hanging="357"/>
        <w:contextualSpacing w:val="0"/>
        <w:rPr>
          <w:rFonts w:cstheme="minorHAnsi"/>
        </w:rPr>
      </w:pPr>
      <w:r w:rsidRPr="00EB70A7">
        <w:rPr>
          <w:rFonts w:cstheme="minorHAnsi"/>
          <w:color w:val="171717" w:themeColor="background2" w:themeShade="1A"/>
        </w:rPr>
        <w:t>Parents would have liked to have known about or have been invited to participate in a parent group, including those who had more than one child.</w:t>
      </w:r>
    </w:p>
    <w:p w14:paraId="72EEB519" w14:textId="641195B5" w:rsidR="00542CD5" w:rsidRPr="00EB70A7" w:rsidRDefault="00542CD5" w:rsidP="005C4927">
      <w:pPr>
        <w:pStyle w:val="ListParagraph"/>
        <w:numPr>
          <w:ilvl w:val="0"/>
          <w:numId w:val="10"/>
        </w:numPr>
        <w:spacing w:before="120" w:after="120"/>
        <w:ind w:left="284" w:hanging="357"/>
        <w:contextualSpacing w:val="0"/>
        <w:rPr>
          <w:rFonts w:cstheme="minorHAnsi"/>
        </w:rPr>
      </w:pPr>
      <w:r w:rsidRPr="00EB70A7">
        <w:rPr>
          <w:rFonts w:cstheme="minorHAnsi"/>
          <w:color w:val="171717" w:themeColor="background2" w:themeShade="1A"/>
        </w:rPr>
        <w:t>Maternal and Child Health were helpful, reassuring, supportive and understanding. Having the same worker was mentioned positively.</w:t>
      </w:r>
    </w:p>
    <w:p w14:paraId="2A9B314D" w14:textId="60F876B6" w:rsidR="00887415" w:rsidRPr="00EB70A7" w:rsidRDefault="00887415" w:rsidP="005C4927">
      <w:pPr>
        <w:pStyle w:val="ListParagraph"/>
        <w:numPr>
          <w:ilvl w:val="0"/>
          <w:numId w:val="10"/>
        </w:numPr>
        <w:tabs>
          <w:tab w:val="left" w:pos="3195"/>
        </w:tabs>
        <w:spacing w:before="120" w:after="120"/>
        <w:ind w:left="284" w:hanging="357"/>
        <w:contextualSpacing w:val="0"/>
        <w:rPr>
          <w:rFonts w:cstheme="minorHAnsi"/>
          <w:b/>
          <w:bCs/>
        </w:rPr>
      </w:pPr>
      <w:r w:rsidRPr="00EB70A7">
        <w:rPr>
          <w:rFonts w:cstheme="minorHAnsi"/>
        </w:rPr>
        <w:t>27% of parents felt referrals to and between services could be improved.</w:t>
      </w:r>
      <w:r w:rsidRPr="00EB70A7">
        <w:rPr>
          <w:rFonts w:cstheme="minorHAnsi"/>
          <w:b/>
          <w:bCs/>
        </w:rPr>
        <w:t xml:space="preserve"> </w:t>
      </w:r>
      <w:r w:rsidRPr="00EB70A7">
        <w:rPr>
          <w:rFonts w:cstheme="minorHAnsi"/>
        </w:rPr>
        <w:t>Comments spoke of miscommunication, being told about other options but not being able to remember them, services not being mentioned at all, not being offered services due to having other children, feeling unheard, times and days offered not suitable, confusing information or left to look up services themselves.</w:t>
      </w:r>
    </w:p>
    <w:p w14:paraId="36EF09CC" w14:textId="3B382DF6" w:rsidR="00887415" w:rsidRPr="00EB70A7" w:rsidRDefault="00887415" w:rsidP="005C4927">
      <w:pPr>
        <w:pStyle w:val="ListParagraph"/>
        <w:numPr>
          <w:ilvl w:val="0"/>
          <w:numId w:val="10"/>
        </w:numPr>
        <w:tabs>
          <w:tab w:val="left" w:pos="3195"/>
        </w:tabs>
        <w:spacing w:before="120" w:after="120"/>
        <w:ind w:left="284" w:hanging="357"/>
        <w:contextualSpacing w:val="0"/>
        <w:rPr>
          <w:rFonts w:cstheme="minorHAnsi"/>
        </w:rPr>
      </w:pPr>
      <w:r w:rsidRPr="00EB70A7">
        <w:rPr>
          <w:rFonts w:cstheme="minorHAnsi"/>
        </w:rPr>
        <w:t>24% commented that it was hard to find out about services.</w:t>
      </w:r>
    </w:p>
    <w:p w14:paraId="3BC0481D" w14:textId="77777777" w:rsidR="00887415" w:rsidRPr="00EB70A7" w:rsidRDefault="00887415" w:rsidP="005C4927">
      <w:pPr>
        <w:pStyle w:val="ListParagraph"/>
        <w:numPr>
          <w:ilvl w:val="0"/>
          <w:numId w:val="10"/>
        </w:numPr>
        <w:spacing w:before="120" w:after="120"/>
        <w:ind w:left="284" w:hanging="357"/>
        <w:contextualSpacing w:val="0"/>
        <w:jc w:val="both"/>
        <w:rPr>
          <w:rFonts w:cstheme="minorHAnsi"/>
        </w:rPr>
      </w:pPr>
      <w:r w:rsidRPr="00EB70A7">
        <w:rPr>
          <w:rFonts w:cstheme="minorHAnsi"/>
        </w:rPr>
        <w:t>35% found it hard to join services for a range of reasons such as feeling uncomfortable, unsuitable times, not told or offered, too busy and/or COVID-19.</w:t>
      </w:r>
    </w:p>
    <w:p w14:paraId="11A91A99" w14:textId="4E44B136" w:rsidR="00542CD5" w:rsidRPr="00EB70A7" w:rsidRDefault="00887415" w:rsidP="005C4927">
      <w:pPr>
        <w:pStyle w:val="ListParagraph"/>
        <w:numPr>
          <w:ilvl w:val="0"/>
          <w:numId w:val="10"/>
        </w:numPr>
        <w:spacing w:before="120" w:after="120"/>
        <w:ind w:left="284" w:hanging="357"/>
        <w:contextualSpacing w:val="0"/>
        <w:rPr>
          <w:rFonts w:cstheme="minorHAnsi"/>
        </w:rPr>
      </w:pPr>
      <w:r w:rsidRPr="00EB70A7">
        <w:rPr>
          <w:rFonts w:cstheme="minorHAnsi"/>
        </w:rPr>
        <w:t>Most parents reported that services always followed up with them if they missed an appointment and/or sent reminder texts. Both were highly valued.</w:t>
      </w:r>
    </w:p>
    <w:p w14:paraId="3CDAC47E" w14:textId="41ABBDCD" w:rsidR="00D0441D" w:rsidRPr="00EB70A7" w:rsidRDefault="00D0441D" w:rsidP="005C4927">
      <w:pPr>
        <w:pStyle w:val="ListParagraph"/>
        <w:numPr>
          <w:ilvl w:val="0"/>
          <w:numId w:val="10"/>
        </w:numPr>
        <w:spacing w:before="120" w:after="120"/>
        <w:ind w:left="284" w:hanging="357"/>
        <w:contextualSpacing w:val="0"/>
        <w:rPr>
          <w:rFonts w:cstheme="minorHAnsi"/>
        </w:rPr>
      </w:pPr>
      <w:r w:rsidRPr="00EB70A7">
        <w:rPr>
          <w:rFonts w:cstheme="minorHAnsi"/>
        </w:rPr>
        <w:t>Personal reasons (feeling overwhelmed, not comfortable, health (mostly anxiety). Not knowing anyone, feeling unwelcome or discouraged) were acknowledged as the greatest barrier for parents not accessing early years services (64%</w:t>
      </w:r>
      <w:r w:rsidR="00EB70A7" w:rsidRPr="00EB70A7">
        <w:rPr>
          <w:rFonts w:cstheme="minorHAnsi"/>
        </w:rPr>
        <w:t>),</w:t>
      </w:r>
      <w:r w:rsidRPr="00EB70A7">
        <w:rPr>
          <w:rFonts w:cstheme="minorHAnsi"/>
        </w:rPr>
        <w:t xml:space="preserve"> followed by time (47%)</w:t>
      </w:r>
      <w:r w:rsidR="00EB70A7" w:rsidRPr="00EB70A7">
        <w:rPr>
          <w:rFonts w:cstheme="minorHAnsi"/>
        </w:rPr>
        <w:t>.</w:t>
      </w:r>
    </w:p>
    <w:p w14:paraId="47F65659" w14:textId="410F292A" w:rsidR="00887415" w:rsidRPr="005C4927" w:rsidRDefault="00887415" w:rsidP="00887415">
      <w:pPr>
        <w:rPr>
          <w:rFonts w:cstheme="minorHAnsi"/>
          <w:b/>
          <w:bCs/>
        </w:rPr>
      </w:pPr>
      <w:r w:rsidRPr="005C4927">
        <w:rPr>
          <w:rFonts w:cstheme="minorHAnsi"/>
          <w:b/>
          <w:bCs/>
        </w:rPr>
        <w:t>Parenting and Parent Support</w:t>
      </w:r>
    </w:p>
    <w:p w14:paraId="48229AF1" w14:textId="49BB14B6" w:rsidR="00486C77" w:rsidRPr="00EB70A7" w:rsidRDefault="00486C77" w:rsidP="005C4927">
      <w:pPr>
        <w:pStyle w:val="ListParagraph"/>
        <w:numPr>
          <w:ilvl w:val="0"/>
          <w:numId w:val="10"/>
        </w:numPr>
        <w:spacing w:before="120" w:after="120"/>
        <w:ind w:left="284"/>
        <w:contextualSpacing w:val="0"/>
        <w:rPr>
          <w:rFonts w:cstheme="minorHAnsi"/>
        </w:rPr>
      </w:pPr>
      <w:r w:rsidRPr="00EB70A7">
        <w:rPr>
          <w:rFonts w:cstheme="minorHAnsi"/>
        </w:rPr>
        <w:t xml:space="preserve">50% of parents stated that they are happy with social connection and 50% not or </w:t>
      </w:r>
      <w:r w:rsidR="00EB70A7" w:rsidRPr="00EB70A7">
        <w:rPr>
          <w:rFonts w:cstheme="minorHAnsi"/>
        </w:rPr>
        <w:t>unsure.</w:t>
      </w:r>
    </w:p>
    <w:p w14:paraId="729EE1D2" w14:textId="23813A58" w:rsidR="00486C77" w:rsidRPr="00EB70A7" w:rsidRDefault="00EB70A7" w:rsidP="005C4927">
      <w:pPr>
        <w:pStyle w:val="ListParagraph"/>
        <w:numPr>
          <w:ilvl w:val="0"/>
          <w:numId w:val="10"/>
        </w:numPr>
        <w:spacing w:before="120" w:after="120"/>
        <w:ind w:left="284"/>
        <w:contextualSpacing w:val="0"/>
        <w:rPr>
          <w:rFonts w:cstheme="minorHAnsi"/>
        </w:rPr>
      </w:pPr>
      <w:r w:rsidRPr="00EB70A7">
        <w:rPr>
          <w:rFonts w:cstheme="minorHAnsi"/>
        </w:rPr>
        <w:t>Most</w:t>
      </w:r>
      <w:r w:rsidR="00486C77" w:rsidRPr="00EB70A7">
        <w:rPr>
          <w:rFonts w:cstheme="minorHAnsi"/>
        </w:rPr>
        <w:t xml:space="preserve"> parents reported that they read/played with their children </w:t>
      </w:r>
      <w:r w:rsidRPr="00EB70A7">
        <w:rPr>
          <w:rFonts w:cstheme="minorHAnsi"/>
        </w:rPr>
        <w:t>often.</w:t>
      </w:r>
    </w:p>
    <w:p w14:paraId="544A2010" w14:textId="5994072E" w:rsidR="00486C77" w:rsidRPr="00EB70A7" w:rsidRDefault="00EB70A7" w:rsidP="005C4927">
      <w:pPr>
        <w:pStyle w:val="ListParagraph"/>
        <w:numPr>
          <w:ilvl w:val="0"/>
          <w:numId w:val="10"/>
        </w:numPr>
        <w:spacing w:before="120" w:after="120"/>
        <w:ind w:left="284"/>
        <w:contextualSpacing w:val="0"/>
        <w:rPr>
          <w:rFonts w:cstheme="minorHAnsi"/>
        </w:rPr>
      </w:pPr>
      <w:r w:rsidRPr="00EB70A7">
        <w:rPr>
          <w:rFonts w:cstheme="minorHAnsi"/>
        </w:rPr>
        <w:t>Most</w:t>
      </w:r>
      <w:r w:rsidR="00486C77" w:rsidRPr="00EB70A7">
        <w:rPr>
          <w:rFonts w:cstheme="minorHAnsi"/>
        </w:rPr>
        <w:t xml:space="preserve"> parents noted that they reach out for support if </w:t>
      </w:r>
      <w:r w:rsidRPr="00EB70A7">
        <w:rPr>
          <w:rFonts w:cstheme="minorHAnsi"/>
        </w:rPr>
        <w:t>needed,</w:t>
      </w:r>
      <w:r w:rsidR="00486C77" w:rsidRPr="00EB70A7">
        <w:rPr>
          <w:rFonts w:cstheme="minorHAnsi"/>
        </w:rPr>
        <w:t xml:space="preserve"> primarily to family, then internet, then specific service</w:t>
      </w:r>
      <w:r w:rsidRPr="00EB70A7">
        <w:rPr>
          <w:rFonts w:cstheme="minorHAnsi"/>
        </w:rPr>
        <w:t>.</w:t>
      </w:r>
    </w:p>
    <w:p w14:paraId="2CAEC75A" w14:textId="5670153E" w:rsidR="00486C77" w:rsidRPr="005C4927" w:rsidRDefault="00FE5162" w:rsidP="005C4927">
      <w:pPr>
        <w:spacing w:before="120" w:after="120"/>
        <w:rPr>
          <w:rFonts w:cstheme="minorHAnsi"/>
          <w:b/>
        </w:rPr>
      </w:pPr>
      <w:r w:rsidRPr="005C4927">
        <w:rPr>
          <w:rFonts w:cstheme="minorHAnsi"/>
          <w:b/>
        </w:rPr>
        <w:t>Cultural reflections</w:t>
      </w:r>
    </w:p>
    <w:p w14:paraId="24EBD04E" w14:textId="32666E04" w:rsidR="00FE5162" w:rsidRPr="00EB70A7" w:rsidRDefault="00FE5162" w:rsidP="005C4927">
      <w:pPr>
        <w:pStyle w:val="ListParagraph"/>
        <w:numPr>
          <w:ilvl w:val="0"/>
          <w:numId w:val="12"/>
        </w:numPr>
        <w:spacing w:before="120" w:after="120"/>
        <w:ind w:left="284"/>
        <w:contextualSpacing w:val="0"/>
        <w:rPr>
          <w:rFonts w:cstheme="minorHAnsi"/>
          <w:bCs/>
        </w:rPr>
      </w:pPr>
      <w:r w:rsidRPr="00EB70A7">
        <w:rPr>
          <w:rFonts w:cstheme="minorHAnsi"/>
          <w:bCs/>
        </w:rPr>
        <w:t>First nations parents mentioned how important it is for services to always ask about cultural background</w:t>
      </w:r>
      <w:r w:rsidR="00EB70A7" w:rsidRPr="00EB70A7">
        <w:rPr>
          <w:rFonts w:cstheme="minorHAnsi"/>
          <w:bCs/>
        </w:rPr>
        <w:t>.</w:t>
      </w:r>
    </w:p>
    <w:p w14:paraId="7166F704" w14:textId="1E976433" w:rsidR="00FE5162" w:rsidRPr="00EB70A7" w:rsidRDefault="00FE5162" w:rsidP="005C4927">
      <w:pPr>
        <w:pStyle w:val="ListParagraph"/>
        <w:numPr>
          <w:ilvl w:val="0"/>
          <w:numId w:val="13"/>
        </w:numPr>
        <w:spacing w:before="120" w:after="120"/>
        <w:ind w:left="284"/>
        <w:contextualSpacing w:val="0"/>
        <w:rPr>
          <w:rFonts w:cstheme="minorHAnsi"/>
        </w:rPr>
      </w:pPr>
      <w:r w:rsidRPr="00EB70A7">
        <w:rPr>
          <w:rFonts w:cstheme="minorHAnsi"/>
          <w:bCs/>
        </w:rPr>
        <w:t>Parents from other cultural backgrounds</w:t>
      </w:r>
      <w:r w:rsidR="002D24E7" w:rsidRPr="00EB70A7">
        <w:rPr>
          <w:rFonts w:cstheme="minorHAnsi"/>
          <w:bCs/>
        </w:rPr>
        <w:t xml:space="preserve"> </w:t>
      </w:r>
      <w:r w:rsidRPr="00EB70A7">
        <w:rPr>
          <w:rFonts w:cstheme="minorHAnsi"/>
          <w:bCs/>
        </w:rPr>
        <w:t>mentioned the importance for services</w:t>
      </w:r>
      <w:r w:rsidRPr="00EB70A7">
        <w:rPr>
          <w:rFonts w:cstheme="minorHAnsi"/>
        </w:rPr>
        <w:t xml:space="preserve">/workers in being genuinely interested, mindful and open to </w:t>
      </w:r>
      <w:r w:rsidR="00EB70A7" w:rsidRPr="00EB70A7">
        <w:rPr>
          <w:rFonts w:cstheme="minorHAnsi"/>
        </w:rPr>
        <w:t>parents’</w:t>
      </w:r>
      <w:r w:rsidRPr="00EB70A7">
        <w:rPr>
          <w:rFonts w:cstheme="minorHAnsi"/>
        </w:rPr>
        <w:t xml:space="preserve"> </w:t>
      </w:r>
      <w:r w:rsidR="002D24E7" w:rsidRPr="00EB70A7">
        <w:rPr>
          <w:rFonts w:cstheme="minorHAnsi"/>
        </w:rPr>
        <w:t>experiences, beliefs and customs</w:t>
      </w:r>
      <w:r w:rsidR="00EB70A7" w:rsidRPr="00EB70A7">
        <w:rPr>
          <w:rFonts w:cstheme="minorHAnsi"/>
        </w:rPr>
        <w:t>.</w:t>
      </w:r>
      <w:r w:rsidR="002D24E7" w:rsidRPr="00EB70A7">
        <w:rPr>
          <w:rFonts w:cstheme="minorHAnsi"/>
        </w:rPr>
        <w:t xml:space="preserve"> </w:t>
      </w:r>
    </w:p>
    <w:p w14:paraId="61097C90" w14:textId="7C24140F" w:rsidR="002D24E7" w:rsidRPr="005C4927" w:rsidRDefault="002D24E7" w:rsidP="002D24E7">
      <w:pPr>
        <w:rPr>
          <w:rFonts w:cstheme="minorHAnsi"/>
          <w:b/>
          <w:bCs/>
        </w:rPr>
      </w:pPr>
      <w:r w:rsidRPr="005C4927">
        <w:rPr>
          <w:rFonts w:cstheme="minorHAnsi"/>
          <w:b/>
          <w:bCs/>
        </w:rPr>
        <w:t>Further comments and communication</w:t>
      </w:r>
    </w:p>
    <w:p w14:paraId="27215120" w14:textId="63A44BA6" w:rsidR="00EB70A7" w:rsidRPr="00EB70A7" w:rsidRDefault="00EB70A7" w:rsidP="005C4927">
      <w:pPr>
        <w:pStyle w:val="ListParagraph"/>
        <w:numPr>
          <w:ilvl w:val="0"/>
          <w:numId w:val="13"/>
        </w:numPr>
        <w:spacing w:before="120" w:after="120" w:line="240" w:lineRule="auto"/>
        <w:ind w:left="284" w:hanging="357"/>
        <w:contextualSpacing w:val="0"/>
        <w:rPr>
          <w:rFonts w:eastAsia="Times New Roman" w:cstheme="minorHAnsi"/>
          <w:color w:val="000000"/>
          <w:lang w:eastAsia="en-AU"/>
        </w:rPr>
      </w:pPr>
      <w:r w:rsidRPr="00EB70A7">
        <w:rPr>
          <w:rFonts w:eastAsia="Times New Roman" w:cstheme="minorHAnsi"/>
          <w:color w:val="000000"/>
          <w:lang w:eastAsia="en-AU"/>
        </w:rPr>
        <w:t>Facebook, fliers/ hardcopy and letter drops were the most preferred way for families to receive information, followed by text, e-mail and phone calls.</w:t>
      </w:r>
    </w:p>
    <w:p w14:paraId="4EF4C836" w14:textId="5A22F81A" w:rsidR="001D3C6C" w:rsidRPr="005C4927" w:rsidRDefault="002D24E7" w:rsidP="00A23F5D">
      <w:pPr>
        <w:pStyle w:val="ListParagraph"/>
        <w:numPr>
          <w:ilvl w:val="0"/>
          <w:numId w:val="13"/>
        </w:numPr>
        <w:spacing w:before="120" w:after="120"/>
        <w:ind w:left="284" w:hanging="357"/>
        <w:contextualSpacing w:val="0"/>
        <w:rPr>
          <w:rFonts w:cstheme="minorHAnsi"/>
        </w:rPr>
      </w:pPr>
      <w:r w:rsidRPr="00EB70A7">
        <w:rPr>
          <w:rFonts w:cstheme="minorHAnsi"/>
        </w:rPr>
        <w:t>The m</w:t>
      </w:r>
      <w:r w:rsidR="00EB70A7" w:rsidRPr="00EB70A7">
        <w:rPr>
          <w:rFonts w:cstheme="minorHAnsi"/>
        </w:rPr>
        <w:t>ost significant</w:t>
      </w:r>
      <w:r w:rsidRPr="00EB70A7">
        <w:rPr>
          <w:rFonts w:cstheme="minorHAnsi"/>
        </w:rPr>
        <w:t xml:space="preserve"> point mentioned by parents was the importance of consistent service information being available at all early </w:t>
      </w:r>
      <w:r w:rsidR="00EB70A7" w:rsidRPr="00EB70A7">
        <w:rPr>
          <w:rFonts w:cstheme="minorHAnsi"/>
        </w:rPr>
        <w:t>year’s</w:t>
      </w:r>
      <w:r w:rsidRPr="00EB70A7">
        <w:rPr>
          <w:rFonts w:cstheme="minorHAnsi"/>
        </w:rPr>
        <w:t xml:space="preserve"> services</w:t>
      </w:r>
      <w:r w:rsidR="00EB70A7" w:rsidRPr="00EB70A7">
        <w:rPr>
          <w:rFonts w:cstheme="minorHAnsi"/>
        </w:rPr>
        <w:t xml:space="preserve"> and entry points</w:t>
      </w:r>
    </w:p>
    <w:p w14:paraId="32F72D02" w14:textId="7A8E4AF0" w:rsidR="00FD3F47" w:rsidRDefault="00FD3F47" w:rsidP="00FD3F47">
      <w:pPr>
        <w:rPr>
          <w:b/>
        </w:rPr>
      </w:pPr>
      <w:r>
        <w:rPr>
          <w:b/>
        </w:rPr>
        <w:lastRenderedPageBreak/>
        <w:t xml:space="preserve">MURDOCH CHILDREN’S RESEARCH INSTITUTE - RESTACKING THE ODDS </w:t>
      </w:r>
      <w:r w:rsidR="00FB55C3">
        <w:rPr>
          <w:b/>
        </w:rPr>
        <w:t>(</w:t>
      </w:r>
      <w:r>
        <w:rPr>
          <w:b/>
        </w:rPr>
        <w:t>2019</w:t>
      </w:r>
      <w:r w:rsidR="00FB55C3">
        <w:rPr>
          <w:b/>
        </w:rPr>
        <w:t>)</w:t>
      </w:r>
    </w:p>
    <w:p w14:paraId="6F2516F3" w14:textId="77777777" w:rsidR="00FD3F47" w:rsidRDefault="00FD3F47" w:rsidP="00FD3F47">
      <w:pPr>
        <w:rPr>
          <w:bCs/>
        </w:rPr>
      </w:pPr>
    </w:p>
    <w:p w14:paraId="4F86650A" w14:textId="286CC097" w:rsidR="00FD3F47" w:rsidRDefault="00FD3F47" w:rsidP="00FD3F47">
      <w:pPr>
        <w:rPr>
          <w:bCs/>
        </w:rPr>
      </w:pPr>
      <w:r>
        <w:rPr>
          <w:bCs/>
        </w:rPr>
        <w:t>KEY POINTS</w:t>
      </w:r>
      <w:r w:rsidRPr="0047010D">
        <w:rPr>
          <w:bCs/>
        </w:rPr>
        <w:t>:</w:t>
      </w:r>
    </w:p>
    <w:p w14:paraId="71DF1D20" w14:textId="77777777" w:rsidR="00FD3F47" w:rsidRDefault="00FD3F47" w:rsidP="005C4927">
      <w:pPr>
        <w:pStyle w:val="ListParagraph"/>
        <w:numPr>
          <w:ilvl w:val="0"/>
          <w:numId w:val="11"/>
        </w:numPr>
        <w:spacing w:before="120" w:after="120"/>
        <w:ind w:left="714" w:hanging="357"/>
        <w:contextualSpacing w:val="0"/>
        <w:rPr>
          <w:bCs/>
        </w:rPr>
      </w:pPr>
      <w:r w:rsidRPr="0047010D">
        <w:rPr>
          <w:bCs/>
        </w:rPr>
        <w:t>There were no parenting programs offered in Central Goldfields for 5 years proceeding and up to the RSTO report</w:t>
      </w:r>
      <w:r>
        <w:rPr>
          <w:bCs/>
        </w:rPr>
        <w:t xml:space="preserve"> and an </w:t>
      </w:r>
      <w:r w:rsidRPr="0047010D">
        <w:rPr>
          <w:bCs/>
        </w:rPr>
        <w:t xml:space="preserve">absence of </w:t>
      </w:r>
      <w:r>
        <w:rPr>
          <w:bCs/>
        </w:rPr>
        <w:t xml:space="preserve">a </w:t>
      </w:r>
      <w:r w:rsidRPr="0047010D">
        <w:rPr>
          <w:bCs/>
        </w:rPr>
        <w:t>Sustained Nurse Home Visiting (NHV) program</w:t>
      </w:r>
      <w:r>
        <w:rPr>
          <w:bCs/>
        </w:rPr>
        <w:t xml:space="preserve"> </w:t>
      </w:r>
      <w:r w:rsidRPr="0047010D">
        <w:rPr>
          <w:bCs/>
        </w:rPr>
        <w:t xml:space="preserve">and </w:t>
      </w:r>
      <w:r>
        <w:rPr>
          <w:bCs/>
        </w:rPr>
        <w:t>Enhanced Maternal and Child Health program</w:t>
      </w:r>
    </w:p>
    <w:p w14:paraId="176D556E" w14:textId="77777777" w:rsidR="00FD3F47" w:rsidRDefault="00FD3F47" w:rsidP="005C4927">
      <w:pPr>
        <w:pStyle w:val="ListParagraph"/>
        <w:numPr>
          <w:ilvl w:val="0"/>
          <w:numId w:val="11"/>
        </w:numPr>
        <w:spacing w:before="120" w:after="120"/>
        <w:ind w:left="714" w:hanging="357"/>
        <w:contextualSpacing w:val="0"/>
        <w:rPr>
          <w:bCs/>
        </w:rPr>
      </w:pPr>
      <w:r>
        <w:rPr>
          <w:bCs/>
        </w:rPr>
        <w:t>Research shows that poor parenting quality is the single most important environmental factor to influence a young child’s behaviour and that early experiences can set children on developmental trajectories that become progressively difficult to modify as they get older</w:t>
      </w:r>
    </w:p>
    <w:p w14:paraId="587319BA" w14:textId="5A8AE6EE" w:rsidR="00FD3F47" w:rsidRDefault="00FD3F47" w:rsidP="005C4927">
      <w:pPr>
        <w:pStyle w:val="ListParagraph"/>
        <w:numPr>
          <w:ilvl w:val="0"/>
          <w:numId w:val="11"/>
        </w:numPr>
        <w:spacing w:before="120" w:after="120"/>
        <w:ind w:left="714" w:hanging="357"/>
        <w:contextualSpacing w:val="0"/>
        <w:rPr>
          <w:bCs/>
        </w:rPr>
      </w:pPr>
      <w:r>
        <w:rPr>
          <w:bCs/>
        </w:rPr>
        <w:t>Results suggest strategies to increase parent participation should specifically target the following program/service level factors : childcare, program scheduling, effective advertising to ensure that parents are aware of the available programs, know how to use them and have high expectations regarding program efficacy, anticipate supportive relationships with program staff and receive information about costs upfront (preferably with assurances that programs will be affordable or free of charge)</w:t>
      </w:r>
    </w:p>
    <w:p w14:paraId="1DCA1BE5" w14:textId="2F1AC5BD" w:rsidR="00FD3F47" w:rsidRDefault="00FD3F47" w:rsidP="00FD3F47">
      <w:pPr>
        <w:rPr>
          <w:b/>
        </w:rPr>
      </w:pPr>
    </w:p>
    <w:p w14:paraId="3120BE66" w14:textId="1AC2B57A" w:rsidR="00FD3F47" w:rsidRDefault="00FD3F47" w:rsidP="00FD3F47">
      <w:pPr>
        <w:rPr>
          <w:b/>
        </w:rPr>
      </w:pPr>
      <w:r>
        <w:rPr>
          <w:b/>
        </w:rPr>
        <w:t>LOCAL LOGIC PLACE</w:t>
      </w:r>
      <w:r w:rsidR="00FB55C3">
        <w:rPr>
          <w:b/>
        </w:rPr>
        <w:t xml:space="preserve"> (2021)</w:t>
      </w:r>
    </w:p>
    <w:p w14:paraId="61FFBEDC" w14:textId="77777777" w:rsidR="00FD3F47" w:rsidRDefault="00FD3F47" w:rsidP="00FD3F47">
      <w:pPr>
        <w:rPr>
          <w:bCs/>
        </w:rPr>
      </w:pPr>
    </w:p>
    <w:p w14:paraId="2493AEE3" w14:textId="24EE55AA" w:rsidR="00FD3F47" w:rsidRPr="00FD3F47" w:rsidRDefault="00FD3F47" w:rsidP="00FD3F47">
      <w:pPr>
        <w:rPr>
          <w:bCs/>
        </w:rPr>
      </w:pPr>
      <w:r w:rsidRPr="00FD3F47">
        <w:rPr>
          <w:bCs/>
        </w:rPr>
        <w:t xml:space="preserve">Local consultations </w:t>
      </w:r>
      <w:r>
        <w:rPr>
          <w:bCs/>
        </w:rPr>
        <w:t>have recently been undertaken across the community</w:t>
      </w:r>
      <w:r w:rsidR="00FB55C3">
        <w:rPr>
          <w:bCs/>
        </w:rPr>
        <w:t xml:space="preserve"> by Local Logic Place</w:t>
      </w:r>
      <w:r>
        <w:rPr>
          <w:bCs/>
        </w:rPr>
        <w:t>. Questions included:</w:t>
      </w:r>
    </w:p>
    <w:p w14:paraId="00C21812" w14:textId="77777777" w:rsidR="00FD3F47" w:rsidRPr="00CC7964" w:rsidRDefault="00FD3F47" w:rsidP="00FD3F47">
      <w:pPr>
        <w:pStyle w:val="ListParagraph"/>
        <w:numPr>
          <w:ilvl w:val="0"/>
          <w:numId w:val="9"/>
        </w:numPr>
        <w:rPr>
          <w:rFonts w:cstheme="minorHAnsi"/>
        </w:rPr>
      </w:pPr>
      <w:r w:rsidRPr="00CC7964">
        <w:rPr>
          <w:rFonts w:eastAsia="Times New Roman" w:cstheme="minorHAnsi"/>
          <w:spacing w:val="-7"/>
          <w:kern w:val="36"/>
          <w:lang w:eastAsia="en-GB"/>
        </w:rPr>
        <w:t>What challenges do new parents (parents with children under the age of 1 year) living in Central Goldfields face?</w:t>
      </w:r>
    </w:p>
    <w:p w14:paraId="31221E51" w14:textId="77777777"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 xml:space="preserve">What are the positives of being a new parent in the Central Goldfields? </w:t>
      </w:r>
    </w:p>
    <w:p w14:paraId="04F1D09D" w14:textId="44017BEB"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 xml:space="preserve">How confident do you feel in your daily role as a parent? </w:t>
      </w:r>
    </w:p>
    <w:p w14:paraId="4BDCC514" w14:textId="77777777"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How often do you connect with other parents?</w:t>
      </w:r>
    </w:p>
    <w:p w14:paraId="6F816EA3" w14:textId="5F672CF3" w:rsidR="00FD3F47" w:rsidRPr="00CC7964" w:rsidRDefault="00FD3F47" w:rsidP="00FD3F47">
      <w:pPr>
        <w:pStyle w:val="ListParagraph"/>
        <w:numPr>
          <w:ilvl w:val="0"/>
          <w:numId w:val="9"/>
        </w:numPr>
        <w:spacing w:before="100" w:beforeAutospacing="1" w:after="100" w:afterAutospacing="1"/>
        <w:jc w:val="both"/>
        <w:outlineLvl w:val="0"/>
        <w:rPr>
          <w:rFonts w:eastAsia="Times New Roman" w:cstheme="minorHAnsi"/>
          <w:spacing w:val="-7"/>
          <w:kern w:val="36"/>
          <w:lang w:eastAsia="en-GB"/>
        </w:rPr>
      </w:pPr>
      <w:r w:rsidRPr="00CC7964">
        <w:rPr>
          <w:rFonts w:eastAsia="Times New Roman" w:cstheme="minorHAnsi"/>
          <w:spacing w:val="-7"/>
          <w:kern w:val="36"/>
          <w:lang w:eastAsia="en-GB"/>
        </w:rPr>
        <w:t xml:space="preserve">Does this level of connection with other parents meet your needs (i.e.do you feel connected and supported as a parent)? </w:t>
      </w:r>
    </w:p>
    <w:p w14:paraId="537E479E" w14:textId="743844F1"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 xml:space="preserve">Have you used the Maryborough District Health Services’ Nest service? </w:t>
      </w:r>
    </w:p>
    <w:p w14:paraId="2E8E6186" w14:textId="77777777"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Have you ever attended a parenting program/group?</w:t>
      </w:r>
    </w:p>
    <w:p w14:paraId="27402574" w14:textId="19713E39"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 xml:space="preserve">Are any of these barriers to attending parenting programs/groups for you? </w:t>
      </w:r>
    </w:p>
    <w:p w14:paraId="62E98976" w14:textId="77777777" w:rsidR="00FD3F47" w:rsidRPr="00CC7964"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What parenting topics / type of groups would be of interest to you?</w:t>
      </w:r>
    </w:p>
    <w:p w14:paraId="344B6828" w14:textId="77777777" w:rsidR="00FD3F47" w:rsidRDefault="00FD3F47" w:rsidP="00FD3F47">
      <w:pPr>
        <w:pStyle w:val="ListParagraph"/>
        <w:numPr>
          <w:ilvl w:val="0"/>
          <w:numId w:val="9"/>
        </w:numPr>
        <w:spacing w:before="100" w:beforeAutospacing="1" w:after="100" w:afterAutospacing="1" w:line="240" w:lineRule="auto"/>
        <w:jc w:val="both"/>
        <w:outlineLvl w:val="0"/>
        <w:rPr>
          <w:rFonts w:eastAsia="Times New Roman" w:cstheme="minorHAnsi"/>
          <w:spacing w:val="-7"/>
          <w:kern w:val="36"/>
          <w:lang w:eastAsia="en-GB"/>
        </w:rPr>
      </w:pPr>
      <w:r w:rsidRPr="00CC7964">
        <w:rPr>
          <w:rFonts w:eastAsia="Times New Roman" w:cstheme="minorHAnsi"/>
          <w:spacing w:val="-7"/>
          <w:kern w:val="36"/>
          <w:lang w:eastAsia="en-GB"/>
        </w:rPr>
        <w:t>What can we do to better encourage, connect, and support all new parents in Central Goldfields?</w:t>
      </w:r>
    </w:p>
    <w:p w14:paraId="0FB52272" w14:textId="60A832C3" w:rsidR="00FD3F47" w:rsidRPr="00FD3F47" w:rsidRDefault="00FD3F47" w:rsidP="00A23F5D">
      <w:pPr>
        <w:rPr>
          <w:bCs/>
        </w:rPr>
      </w:pPr>
      <w:r w:rsidRPr="00FD3F47">
        <w:rPr>
          <w:bCs/>
        </w:rPr>
        <w:t>Once compiled and analysed it will have relevance to Connected and Confident New Parents Working Group</w:t>
      </w:r>
    </w:p>
    <w:p w14:paraId="4C2ED6C5" w14:textId="77777777" w:rsidR="00FD3F47" w:rsidRDefault="00FD3F47" w:rsidP="00A23F5D">
      <w:pPr>
        <w:rPr>
          <w:b/>
        </w:rPr>
      </w:pPr>
    </w:p>
    <w:p w14:paraId="50E38186" w14:textId="77777777" w:rsidR="00FD3F47" w:rsidRDefault="00FD3F47" w:rsidP="00A23F5D">
      <w:pPr>
        <w:rPr>
          <w:b/>
        </w:rPr>
      </w:pPr>
    </w:p>
    <w:p w14:paraId="123FB3DF" w14:textId="77777777" w:rsidR="00FD3F47" w:rsidRDefault="00FD3F47" w:rsidP="00A23F5D">
      <w:pPr>
        <w:rPr>
          <w:b/>
        </w:rPr>
      </w:pPr>
    </w:p>
    <w:p w14:paraId="3A0F0EA3" w14:textId="77777777" w:rsidR="00FD3F47" w:rsidRDefault="00FD3F47" w:rsidP="00A23F5D">
      <w:pPr>
        <w:rPr>
          <w:b/>
        </w:rPr>
      </w:pPr>
    </w:p>
    <w:p w14:paraId="23CA8517" w14:textId="77777777" w:rsidR="00FD3F47" w:rsidRDefault="00FD3F47" w:rsidP="00A23F5D">
      <w:pPr>
        <w:rPr>
          <w:b/>
        </w:rPr>
      </w:pPr>
    </w:p>
    <w:p w14:paraId="30EF01B4" w14:textId="77777777" w:rsidR="00FD3F47" w:rsidRDefault="00FD3F47" w:rsidP="00A23F5D">
      <w:pPr>
        <w:rPr>
          <w:b/>
        </w:rPr>
      </w:pPr>
    </w:p>
    <w:p w14:paraId="31955B71" w14:textId="77777777" w:rsidR="00FD3F47" w:rsidRPr="00FD3F47" w:rsidRDefault="00FD3F47" w:rsidP="00FD3F47">
      <w:pPr>
        <w:pStyle w:val="ListParagraph"/>
        <w:numPr>
          <w:ilvl w:val="0"/>
          <w:numId w:val="16"/>
        </w:numPr>
        <w:rPr>
          <w:b/>
          <w:sz w:val="28"/>
          <w:szCs w:val="28"/>
        </w:rPr>
      </w:pPr>
      <w:r w:rsidRPr="00FD3F47">
        <w:rPr>
          <w:b/>
          <w:sz w:val="28"/>
          <w:szCs w:val="28"/>
        </w:rPr>
        <w:t>ABORIGINAL AND TORRES STRAIT ISLANDER SPECIFIC DATA</w:t>
      </w:r>
    </w:p>
    <w:p w14:paraId="7FE25D80" w14:textId="459A171A" w:rsidR="00FD3F47" w:rsidRPr="00FD3F47" w:rsidRDefault="00FD3F47" w:rsidP="00FD3F47">
      <w:pPr>
        <w:pStyle w:val="ListParagraph"/>
        <w:rPr>
          <w:b/>
          <w:sz w:val="28"/>
          <w:szCs w:val="28"/>
        </w:rPr>
      </w:pPr>
    </w:p>
    <w:p w14:paraId="055B38E9" w14:textId="52AEDA52" w:rsidR="00F80F2D" w:rsidRPr="00FD3F47" w:rsidRDefault="006C2311" w:rsidP="00FD3F47">
      <w:pPr>
        <w:spacing w:before="240"/>
      </w:pPr>
      <w:r w:rsidRPr="00E17416">
        <w:t xml:space="preserve">232 Indigenous people resided in Central Goldfields LGA. 39.6% were engaged in full time or part time employment, education or training and 61.3% were not. </w:t>
      </w:r>
      <w:r>
        <w:t>(Australian Bureau of Statistics 2016)</w:t>
      </w:r>
    </w:p>
    <w:p w14:paraId="51E5E276" w14:textId="18FA6F42" w:rsidR="00C569D1" w:rsidRPr="00FD3F47" w:rsidRDefault="00C569D1" w:rsidP="00FD3F47">
      <w:pPr>
        <w:rPr>
          <w:rFonts w:eastAsia="Times New Roman" w:cs="Times New Roman"/>
        </w:rPr>
      </w:pPr>
      <w:r w:rsidRPr="001D3C6C">
        <w:rPr>
          <w:rFonts w:eastAsia="Times New Roman" w:cs="Times New Roman"/>
        </w:rPr>
        <w:t xml:space="preserve">Paramount in all our work is to protect the rights of Aboriginal and Torres Strait children (sense of belonging, identity, self-determination) </w:t>
      </w:r>
      <w:r w:rsidR="001D3C6C">
        <w:rPr>
          <w:rFonts w:eastAsia="Times New Roman" w:cs="Times New Roman"/>
        </w:rPr>
        <w:t>SNAICC</w:t>
      </w:r>
      <w:r w:rsidR="001D3C6C" w:rsidRPr="001D3C6C">
        <w:rPr>
          <w:rFonts w:eastAsia="Times New Roman" w:cs="Times New Roman"/>
        </w:rPr>
        <w:t xml:space="preserve"> </w:t>
      </w:r>
      <w:r w:rsidR="001D3C6C">
        <w:rPr>
          <w:rFonts w:eastAsia="Times New Roman" w:cs="Times New Roman"/>
        </w:rPr>
        <w:t>(</w:t>
      </w:r>
      <w:r w:rsidR="001D3C6C" w:rsidRPr="00C569D1">
        <w:rPr>
          <w:rFonts w:eastAsia="Times New Roman" w:cs="Times New Roman"/>
        </w:rPr>
        <w:t>SNAICC is the national non-governmental peak body for Aboriginal and Torres Strait Islander children</w:t>
      </w:r>
      <w:r w:rsidR="001D3C6C">
        <w:rPr>
          <w:rFonts w:eastAsia="Times New Roman" w:cs="Times New Roman"/>
        </w:rPr>
        <w:t>)</w:t>
      </w:r>
      <w:r w:rsidR="001D3C6C" w:rsidRPr="00C569D1">
        <w:rPr>
          <w:rFonts w:eastAsia="Times New Roman" w:cs="Times New Roman"/>
        </w:rPr>
        <w:t>.</w:t>
      </w:r>
    </w:p>
    <w:p w14:paraId="1F5AD2DB" w14:textId="77777777" w:rsidR="00C569D1" w:rsidRPr="001D3C6C" w:rsidRDefault="00C569D1" w:rsidP="001D3C6C">
      <w:pPr>
        <w:widowControl w:val="0"/>
        <w:spacing w:before="96" w:after="0" w:line="276" w:lineRule="auto"/>
        <w:ind w:right="158"/>
        <w:rPr>
          <w:rFonts w:eastAsia="Times New Roman" w:cs="Calibri"/>
          <w:color w:val="292425"/>
          <w:spacing w:val="-24"/>
          <w:w w:val="105"/>
          <w:lang w:val="en-US"/>
        </w:rPr>
      </w:pPr>
      <w:r w:rsidRPr="001D3C6C">
        <w:rPr>
          <w:rFonts w:eastAsia="Times New Roman" w:cs="Calibri"/>
          <w:color w:val="292425"/>
          <w:spacing w:val="-3"/>
          <w:w w:val="105"/>
          <w:lang w:val="en-US"/>
        </w:rPr>
        <w:t xml:space="preserve">The </w:t>
      </w:r>
      <w:r w:rsidRPr="001D3C6C">
        <w:rPr>
          <w:rFonts w:eastAsia="Times New Roman" w:cs="Calibri"/>
          <w:color w:val="292425"/>
          <w:spacing w:val="-4"/>
          <w:w w:val="105"/>
          <w:lang w:val="en-US"/>
        </w:rPr>
        <w:t xml:space="preserve">difficulties </w:t>
      </w:r>
      <w:r w:rsidRPr="001D3C6C">
        <w:rPr>
          <w:rFonts w:eastAsia="Times New Roman" w:cs="Calibri"/>
          <w:color w:val="292425"/>
          <w:spacing w:val="-3"/>
          <w:w w:val="105"/>
          <w:lang w:val="en-US"/>
        </w:rPr>
        <w:t xml:space="preserve">many </w:t>
      </w:r>
      <w:r w:rsidRPr="001D3C6C">
        <w:rPr>
          <w:rFonts w:eastAsia="Times New Roman" w:cs="Calibri"/>
          <w:color w:val="292425"/>
          <w:spacing w:val="-4"/>
          <w:w w:val="105"/>
          <w:lang w:val="en-US"/>
        </w:rPr>
        <w:t xml:space="preserve">Aboriginal people </w:t>
      </w:r>
      <w:r w:rsidRPr="001D3C6C">
        <w:rPr>
          <w:rFonts w:eastAsia="Times New Roman" w:cs="Calibri"/>
          <w:color w:val="292425"/>
          <w:spacing w:val="-3"/>
          <w:w w:val="105"/>
          <w:lang w:val="en-US"/>
        </w:rPr>
        <w:t xml:space="preserve">have </w:t>
      </w:r>
      <w:r w:rsidRPr="001D3C6C">
        <w:rPr>
          <w:rFonts w:eastAsia="Times New Roman" w:cs="Calibri"/>
          <w:color w:val="292425"/>
          <w:w w:val="105"/>
          <w:lang w:val="en-US"/>
        </w:rPr>
        <w:t xml:space="preserve">in </w:t>
      </w:r>
      <w:r w:rsidRPr="001D3C6C">
        <w:rPr>
          <w:rFonts w:eastAsia="Times New Roman" w:cs="Calibri"/>
          <w:color w:val="292425"/>
          <w:spacing w:val="-4"/>
          <w:w w:val="105"/>
          <w:lang w:val="en-US"/>
        </w:rPr>
        <w:t xml:space="preserve">accessing mainstream </w:t>
      </w:r>
      <w:r w:rsidRPr="001D3C6C">
        <w:rPr>
          <w:rFonts w:eastAsia="Times New Roman" w:cs="Calibri"/>
          <w:color w:val="292425"/>
          <w:spacing w:val="-3"/>
          <w:w w:val="105"/>
          <w:lang w:val="en-US"/>
        </w:rPr>
        <w:t xml:space="preserve">services </w:t>
      </w:r>
      <w:r w:rsidRPr="001D3C6C">
        <w:rPr>
          <w:rFonts w:eastAsia="Times New Roman" w:cs="Calibri"/>
          <w:color w:val="292425"/>
          <w:spacing w:val="-5"/>
          <w:w w:val="105"/>
          <w:lang w:val="en-US"/>
        </w:rPr>
        <w:t xml:space="preserve">stem </w:t>
      </w:r>
      <w:r w:rsidRPr="001D3C6C">
        <w:rPr>
          <w:rFonts w:eastAsia="Times New Roman" w:cs="Calibri"/>
          <w:color w:val="292425"/>
          <w:spacing w:val="-4"/>
          <w:w w:val="105"/>
          <w:lang w:val="en-US"/>
        </w:rPr>
        <w:t xml:space="preserve">from </w:t>
      </w:r>
      <w:r w:rsidRPr="001D3C6C">
        <w:rPr>
          <w:rFonts w:eastAsia="Times New Roman" w:cs="Calibri"/>
          <w:color w:val="292425"/>
          <w:spacing w:val="-3"/>
          <w:w w:val="105"/>
          <w:lang w:val="en-US"/>
        </w:rPr>
        <w:t xml:space="preserve">many </w:t>
      </w:r>
      <w:r w:rsidRPr="001D3C6C">
        <w:rPr>
          <w:rFonts w:eastAsia="Times New Roman" w:cs="Calibri"/>
          <w:color w:val="292425"/>
          <w:spacing w:val="-4"/>
          <w:w w:val="105"/>
          <w:lang w:val="en-US"/>
        </w:rPr>
        <w:t xml:space="preserve">years </w:t>
      </w:r>
      <w:r w:rsidRPr="001D3C6C">
        <w:rPr>
          <w:rFonts w:eastAsia="Times New Roman" w:cs="Calibri"/>
          <w:color w:val="292425"/>
          <w:w w:val="105"/>
          <w:lang w:val="en-US"/>
        </w:rPr>
        <w:t xml:space="preserve">of </w:t>
      </w:r>
      <w:r w:rsidRPr="001D3C6C">
        <w:rPr>
          <w:rFonts w:eastAsia="Times New Roman" w:cs="Calibri"/>
          <w:color w:val="292425"/>
          <w:spacing w:val="-5"/>
          <w:w w:val="105"/>
          <w:lang w:val="en-US"/>
        </w:rPr>
        <w:t xml:space="preserve">oppression </w:t>
      </w:r>
      <w:r w:rsidRPr="001D3C6C">
        <w:rPr>
          <w:rFonts w:eastAsia="Times New Roman" w:cs="Calibri"/>
          <w:color w:val="292425"/>
          <w:spacing w:val="-3"/>
          <w:w w:val="105"/>
          <w:lang w:val="en-US"/>
        </w:rPr>
        <w:t xml:space="preserve">and </w:t>
      </w:r>
      <w:r w:rsidRPr="001D3C6C">
        <w:rPr>
          <w:rFonts w:eastAsia="Times New Roman" w:cs="Calibri"/>
          <w:color w:val="292425"/>
          <w:spacing w:val="-4"/>
          <w:w w:val="105"/>
          <w:lang w:val="en-US"/>
        </w:rPr>
        <w:t xml:space="preserve">racism, which includes </w:t>
      </w:r>
      <w:r w:rsidRPr="001D3C6C">
        <w:rPr>
          <w:rFonts w:eastAsia="Times New Roman" w:cs="Calibri"/>
          <w:color w:val="292425"/>
          <w:spacing w:val="-5"/>
          <w:w w:val="105"/>
          <w:lang w:val="en-US"/>
        </w:rPr>
        <w:t xml:space="preserve">government </w:t>
      </w:r>
      <w:r w:rsidRPr="001D3C6C">
        <w:rPr>
          <w:rFonts w:eastAsia="Times New Roman" w:cs="Calibri"/>
          <w:color w:val="292425"/>
          <w:spacing w:val="-4"/>
          <w:w w:val="105"/>
          <w:lang w:val="en-US"/>
        </w:rPr>
        <w:t xml:space="preserve">policies of </w:t>
      </w:r>
      <w:r w:rsidRPr="001D3C6C">
        <w:rPr>
          <w:rFonts w:eastAsia="Times New Roman" w:cs="Calibri"/>
          <w:color w:val="292425"/>
          <w:spacing w:val="-5"/>
          <w:w w:val="105"/>
          <w:lang w:val="en-US"/>
        </w:rPr>
        <w:t>segregation</w:t>
      </w:r>
      <w:r w:rsidRPr="001D3C6C">
        <w:rPr>
          <w:rFonts w:eastAsia="Times New Roman" w:cs="Calibri"/>
          <w:color w:val="292425"/>
          <w:spacing w:val="-24"/>
          <w:w w:val="105"/>
          <w:lang w:val="en-US"/>
        </w:rPr>
        <w:t xml:space="preserve"> </w:t>
      </w:r>
      <w:r w:rsidRPr="001D3C6C">
        <w:rPr>
          <w:rFonts w:eastAsia="Times New Roman" w:cs="Calibri"/>
          <w:color w:val="292425"/>
          <w:spacing w:val="-3"/>
          <w:w w:val="105"/>
          <w:lang w:val="en-US"/>
        </w:rPr>
        <w:t>and</w:t>
      </w:r>
      <w:r w:rsidRPr="001D3C6C">
        <w:rPr>
          <w:rFonts w:eastAsia="Times New Roman" w:cs="Calibri"/>
          <w:color w:val="292425"/>
          <w:spacing w:val="-24"/>
          <w:w w:val="105"/>
          <w:lang w:val="en-US"/>
        </w:rPr>
        <w:t xml:space="preserve"> </w:t>
      </w:r>
      <w:r w:rsidRPr="001D3C6C">
        <w:rPr>
          <w:rFonts w:eastAsia="Times New Roman" w:cs="Calibri"/>
          <w:color w:val="292425"/>
          <w:spacing w:val="-4"/>
          <w:w w:val="105"/>
          <w:lang w:val="en-US"/>
        </w:rPr>
        <w:t>removal.</w:t>
      </w:r>
      <w:r w:rsidRPr="001D3C6C">
        <w:rPr>
          <w:rFonts w:eastAsia="Times New Roman" w:cs="Calibri"/>
          <w:color w:val="292425"/>
          <w:spacing w:val="-24"/>
          <w:w w:val="105"/>
          <w:lang w:val="en-US"/>
        </w:rPr>
        <w:t xml:space="preserve"> </w:t>
      </w:r>
    </w:p>
    <w:p w14:paraId="7A57DE51" w14:textId="77777777" w:rsidR="00C569D1" w:rsidRPr="001D3C6C" w:rsidRDefault="00C569D1" w:rsidP="001D3C6C">
      <w:pPr>
        <w:widowControl w:val="0"/>
        <w:spacing w:before="96" w:after="0" w:line="276" w:lineRule="auto"/>
        <w:ind w:right="158"/>
        <w:rPr>
          <w:rFonts w:eastAsia="Times New Roman" w:cs="Calibri"/>
          <w:lang w:val="en-US"/>
        </w:rPr>
      </w:pPr>
      <w:r w:rsidRPr="001D3C6C">
        <w:rPr>
          <w:rFonts w:eastAsia="Times New Roman" w:cs="Calibri"/>
          <w:color w:val="292425"/>
          <w:w w:val="105"/>
          <w:lang w:val="en-US"/>
        </w:rPr>
        <w:t xml:space="preserve">As a </w:t>
      </w:r>
      <w:r w:rsidRPr="001D3C6C">
        <w:rPr>
          <w:rFonts w:eastAsia="Times New Roman" w:cs="Calibri"/>
          <w:color w:val="292425"/>
          <w:spacing w:val="-4"/>
          <w:w w:val="105"/>
          <w:lang w:val="en-US"/>
        </w:rPr>
        <w:t>result, Aboriginal children</w:t>
      </w:r>
      <w:r w:rsidRPr="001D3C6C">
        <w:rPr>
          <w:rFonts w:eastAsia="Times New Roman" w:cs="Calibri"/>
          <w:color w:val="292425"/>
          <w:spacing w:val="-17"/>
          <w:w w:val="105"/>
          <w:lang w:val="en-US"/>
        </w:rPr>
        <w:t xml:space="preserve"> </w:t>
      </w:r>
      <w:r w:rsidRPr="001D3C6C">
        <w:rPr>
          <w:rFonts w:eastAsia="Times New Roman" w:cs="Calibri"/>
          <w:color w:val="292425"/>
          <w:spacing w:val="-3"/>
          <w:w w:val="105"/>
          <w:lang w:val="en-US"/>
        </w:rPr>
        <w:t>and</w:t>
      </w:r>
      <w:r w:rsidRPr="001D3C6C">
        <w:rPr>
          <w:rFonts w:eastAsia="Times New Roman" w:cs="Calibri"/>
          <w:color w:val="292425"/>
          <w:spacing w:val="-17"/>
          <w:w w:val="105"/>
          <w:lang w:val="en-US"/>
        </w:rPr>
        <w:t xml:space="preserve"> </w:t>
      </w:r>
      <w:r w:rsidRPr="001D3C6C">
        <w:rPr>
          <w:rFonts w:eastAsia="Times New Roman" w:cs="Calibri"/>
          <w:color w:val="292425"/>
          <w:spacing w:val="-4"/>
          <w:w w:val="105"/>
          <w:lang w:val="en-US"/>
        </w:rPr>
        <w:t>their</w:t>
      </w:r>
      <w:r w:rsidRPr="001D3C6C">
        <w:rPr>
          <w:rFonts w:eastAsia="Times New Roman" w:cs="Calibri"/>
          <w:color w:val="292425"/>
          <w:spacing w:val="-28"/>
          <w:w w:val="105"/>
          <w:lang w:val="en-US"/>
        </w:rPr>
        <w:t xml:space="preserve"> </w:t>
      </w:r>
      <w:r w:rsidRPr="001D3C6C">
        <w:rPr>
          <w:rFonts w:eastAsia="Times New Roman" w:cs="Calibri"/>
          <w:color w:val="292425"/>
          <w:spacing w:val="-4"/>
          <w:w w:val="105"/>
          <w:lang w:val="en-US"/>
        </w:rPr>
        <w:t>families</w:t>
      </w:r>
      <w:r w:rsidRPr="001D3C6C">
        <w:rPr>
          <w:rFonts w:eastAsia="Times New Roman" w:cs="Calibri"/>
          <w:color w:val="292425"/>
          <w:spacing w:val="-17"/>
          <w:w w:val="105"/>
          <w:lang w:val="en-US"/>
        </w:rPr>
        <w:t xml:space="preserve"> </w:t>
      </w:r>
      <w:r w:rsidRPr="001D3C6C">
        <w:rPr>
          <w:rFonts w:eastAsia="Times New Roman" w:cs="Calibri"/>
          <w:color w:val="292425"/>
          <w:spacing w:val="-4"/>
          <w:w w:val="105"/>
          <w:lang w:val="en-US"/>
        </w:rPr>
        <w:t>are</w:t>
      </w:r>
      <w:r w:rsidRPr="001D3C6C">
        <w:rPr>
          <w:rFonts w:eastAsia="Times New Roman" w:cs="Calibri"/>
          <w:color w:val="292425"/>
          <w:spacing w:val="-17"/>
          <w:w w:val="105"/>
          <w:lang w:val="en-US"/>
        </w:rPr>
        <w:t xml:space="preserve"> </w:t>
      </w:r>
      <w:r w:rsidRPr="001D3C6C">
        <w:rPr>
          <w:rFonts w:eastAsia="Times New Roman" w:cs="Calibri"/>
          <w:color w:val="292425"/>
          <w:spacing w:val="-4"/>
          <w:w w:val="105"/>
          <w:lang w:val="en-US"/>
        </w:rPr>
        <w:t>under-using</w:t>
      </w:r>
      <w:r w:rsidRPr="001D3C6C">
        <w:rPr>
          <w:rFonts w:eastAsia="Times New Roman" w:cs="Calibri"/>
          <w:color w:val="292425"/>
          <w:spacing w:val="-17"/>
          <w:w w:val="105"/>
          <w:lang w:val="en-US"/>
        </w:rPr>
        <w:t xml:space="preserve"> </w:t>
      </w:r>
      <w:r w:rsidRPr="001D3C6C">
        <w:rPr>
          <w:rFonts w:eastAsia="Times New Roman" w:cs="Calibri"/>
          <w:color w:val="292425"/>
          <w:spacing w:val="-5"/>
          <w:w w:val="105"/>
          <w:lang w:val="en-US"/>
        </w:rPr>
        <w:t>maternal</w:t>
      </w:r>
      <w:r w:rsidRPr="001D3C6C">
        <w:rPr>
          <w:rFonts w:eastAsia="Times New Roman" w:cs="Calibri"/>
          <w:color w:val="292425"/>
          <w:spacing w:val="-17"/>
          <w:w w:val="105"/>
          <w:lang w:val="en-US"/>
        </w:rPr>
        <w:t xml:space="preserve"> </w:t>
      </w:r>
      <w:r w:rsidRPr="001D3C6C">
        <w:rPr>
          <w:rFonts w:eastAsia="Times New Roman" w:cs="Calibri"/>
          <w:color w:val="292425"/>
          <w:spacing w:val="-3"/>
          <w:w w:val="105"/>
          <w:lang w:val="en-US"/>
        </w:rPr>
        <w:t>and</w:t>
      </w:r>
      <w:r w:rsidRPr="001D3C6C">
        <w:rPr>
          <w:rFonts w:eastAsia="Times New Roman" w:cs="Calibri"/>
          <w:color w:val="292425"/>
          <w:spacing w:val="-17"/>
          <w:w w:val="105"/>
          <w:lang w:val="en-US"/>
        </w:rPr>
        <w:t xml:space="preserve"> </w:t>
      </w:r>
      <w:r w:rsidRPr="001D3C6C">
        <w:rPr>
          <w:rFonts w:eastAsia="Times New Roman" w:cs="Calibri"/>
          <w:color w:val="292425"/>
          <w:spacing w:val="-4"/>
          <w:w w:val="105"/>
          <w:lang w:val="en-US"/>
        </w:rPr>
        <w:t xml:space="preserve">child health </w:t>
      </w:r>
      <w:r w:rsidRPr="001D3C6C">
        <w:rPr>
          <w:rFonts w:eastAsia="Times New Roman" w:cs="Calibri"/>
          <w:color w:val="292425"/>
          <w:spacing w:val="-3"/>
          <w:w w:val="105"/>
          <w:lang w:val="en-US"/>
        </w:rPr>
        <w:t xml:space="preserve">services, </w:t>
      </w:r>
      <w:r w:rsidRPr="001D3C6C">
        <w:rPr>
          <w:rFonts w:eastAsia="Times New Roman" w:cs="Calibri"/>
          <w:color w:val="292425"/>
          <w:spacing w:val="-4"/>
          <w:w w:val="105"/>
          <w:lang w:val="en-US"/>
        </w:rPr>
        <w:t xml:space="preserve">education </w:t>
      </w:r>
      <w:r w:rsidRPr="001D3C6C">
        <w:rPr>
          <w:rFonts w:eastAsia="Times New Roman" w:cs="Calibri"/>
          <w:color w:val="292425"/>
          <w:spacing w:val="-3"/>
          <w:w w:val="105"/>
          <w:lang w:val="en-US"/>
        </w:rPr>
        <w:t xml:space="preserve">services and </w:t>
      </w:r>
      <w:r w:rsidRPr="001D3C6C">
        <w:rPr>
          <w:rFonts w:eastAsia="Times New Roman" w:cs="Calibri"/>
          <w:color w:val="292425"/>
          <w:spacing w:val="-4"/>
          <w:w w:val="105"/>
          <w:lang w:val="en-US"/>
        </w:rPr>
        <w:t xml:space="preserve">social </w:t>
      </w:r>
      <w:r w:rsidRPr="001D3C6C">
        <w:rPr>
          <w:rFonts w:eastAsia="Times New Roman" w:cs="Calibri"/>
          <w:color w:val="292425"/>
          <w:spacing w:val="-3"/>
          <w:w w:val="105"/>
          <w:lang w:val="en-US"/>
        </w:rPr>
        <w:t xml:space="preserve">support </w:t>
      </w:r>
      <w:r w:rsidRPr="001D3C6C">
        <w:rPr>
          <w:rFonts w:eastAsia="Times New Roman" w:cs="Calibri"/>
          <w:color w:val="292425"/>
          <w:spacing w:val="-4"/>
          <w:w w:val="105"/>
          <w:lang w:val="en-US"/>
        </w:rPr>
        <w:t>services.</w:t>
      </w:r>
    </w:p>
    <w:p w14:paraId="17F8C390" w14:textId="3A900881" w:rsidR="00C569D1" w:rsidRPr="001D3C6C" w:rsidRDefault="00C569D1" w:rsidP="001D3C6C">
      <w:pPr>
        <w:widowControl w:val="0"/>
        <w:spacing w:before="86" w:after="0" w:line="276" w:lineRule="auto"/>
        <w:ind w:right="238"/>
        <w:rPr>
          <w:rFonts w:eastAsia="Times New Roman" w:cs="Calibri"/>
          <w:color w:val="292425"/>
          <w:spacing w:val="-4"/>
          <w:lang w:val="en-US"/>
        </w:rPr>
      </w:pPr>
      <w:r w:rsidRPr="001D3C6C">
        <w:rPr>
          <w:rFonts w:eastAsia="Times New Roman" w:cs="Calibri"/>
          <w:color w:val="292425"/>
          <w:spacing w:val="-4"/>
          <w:lang w:val="en-US"/>
        </w:rPr>
        <w:t xml:space="preserve">These historic issues have resulted in poorer outcomes for Aboriginal children in most childhood measurement areas. </w:t>
      </w:r>
      <w:r w:rsidR="001D3C6C" w:rsidRPr="001D3C6C">
        <w:rPr>
          <w:rFonts w:eastAsia="Times New Roman" w:cs="Calibri"/>
          <w:color w:val="292425"/>
          <w:spacing w:val="-4"/>
          <w:lang w:val="en-US"/>
        </w:rPr>
        <w:t>(Best Start DET)</w:t>
      </w:r>
    </w:p>
    <w:p w14:paraId="3D7321C9" w14:textId="77777777" w:rsidR="00C569D1" w:rsidRPr="00C569D1" w:rsidRDefault="00C569D1" w:rsidP="00C569D1">
      <w:pPr>
        <w:widowControl w:val="0"/>
        <w:spacing w:before="86" w:after="0" w:line="276" w:lineRule="auto"/>
        <w:ind w:left="709" w:right="238"/>
        <w:rPr>
          <w:rFonts w:eastAsia="Times New Roman" w:cs="Calibri"/>
          <w:b/>
          <w:color w:val="292425"/>
          <w:spacing w:val="-4"/>
          <w:lang w:val="en-US"/>
        </w:rPr>
      </w:pPr>
    </w:p>
    <w:p w14:paraId="38A9671A" w14:textId="59A69A8A" w:rsidR="00C569D1" w:rsidRPr="00C569D1" w:rsidRDefault="001D3C6C" w:rsidP="00C569D1">
      <w:pPr>
        <w:widowControl w:val="0"/>
        <w:spacing w:before="86" w:after="0" w:line="276" w:lineRule="auto"/>
        <w:ind w:right="238"/>
        <w:rPr>
          <w:rFonts w:eastAsia="Times New Roman" w:cs="Calibri"/>
          <w:color w:val="292425"/>
          <w:spacing w:val="-4"/>
          <w:lang w:val="en-US"/>
        </w:rPr>
      </w:pPr>
      <w:r>
        <w:rPr>
          <w:rFonts w:eastAsia="Times New Roman" w:cs="Calibri"/>
          <w:color w:val="292425"/>
          <w:spacing w:val="-4"/>
          <w:lang w:val="en-US"/>
        </w:rPr>
        <w:t>A k</w:t>
      </w:r>
      <w:r w:rsidR="00C569D1" w:rsidRPr="00C569D1">
        <w:rPr>
          <w:rFonts w:eastAsia="Times New Roman" w:cs="Calibri"/>
          <w:color w:val="292425"/>
          <w:spacing w:val="-4"/>
          <w:lang w:val="en-US"/>
        </w:rPr>
        <w:t>ey focus</w:t>
      </w:r>
      <w:r>
        <w:rPr>
          <w:rFonts w:eastAsia="Times New Roman" w:cs="Calibri"/>
          <w:color w:val="292425"/>
          <w:spacing w:val="-4"/>
          <w:lang w:val="en-US"/>
        </w:rPr>
        <w:t xml:space="preserve"> of Closing the Gap 2020 is that </w:t>
      </w:r>
      <w:r w:rsidR="009452C6">
        <w:rPr>
          <w:rFonts w:eastAsia="Times New Roman" w:cs="Calibri"/>
          <w:color w:val="292425"/>
          <w:spacing w:val="-4"/>
          <w:lang w:val="en-US"/>
        </w:rPr>
        <w:t>c</w:t>
      </w:r>
      <w:r w:rsidR="00C569D1" w:rsidRPr="00C569D1">
        <w:rPr>
          <w:rFonts w:eastAsia="Times New Roman" w:cs="Calibri"/>
          <w:color w:val="292425"/>
          <w:spacing w:val="-4"/>
          <w:lang w:val="en-US"/>
        </w:rPr>
        <w:t>hildren are born Healthy and Strong</w:t>
      </w:r>
      <w:r>
        <w:rPr>
          <w:rFonts w:eastAsia="Times New Roman" w:cs="Calibri"/>
          <w:color w:val="292425"/>
          <w:spacing w:val="-4"/>
          <w:lang w:val="en-US"/>
        </w:rPr>
        <w:t xml:space="preserve">. </w:t>
      </w:r>
      <w:r w:rsidR="009452C6">
        <w:rPr>
          <w:rFonts w:eastAsia="Times New Roman" w:cs="Calibri"/>
          <w:color w:val="292425"/>
          <w:spacing w:val="-4"/>
          <w:lang w:val="en-US"/>
        </w:rPr>
        <w:t xml:space="preserve">Priorities areas are </w:t>
      </w:r>
    </w:p>
    <w:p w14:paraId="55E52DA8" w14:textId="6CE305A1" w:rsidR="00C569D1" w:rsidRPr="00C569D1" w:rsidRDefault="00C569D1" w:rsidP="00C569D1">
      <w:pPr>
        <w:widowControl w:val="0"/>
        <w:numPr>
          <w:ilvl w:val="0"/>
          <w:numId w:val="5"/>
        </w:numPr>
        <w:spacing w:after="0" w:line="276" w:lineRule="auto"/>
        <w:ind w:left="1134" w:right="238" w:hanging="425"/>
        <w:rPr>
          <w:rFonts w:eastAsia="Times New Roman" w:cs="Calibri"/>
          <w:color w:val="292425"/>
          <w:spacing w:val="-4"/>
          <w:lang w:val="en-US"/>
        </w:rPr>
      </w:pPr>
      <w:r w:rsidRPr="00C569D1">
        <w:rPr>
          <w:rFonts w:eastAsia="Times New Roman" w:cs="Calibri"/>
          <w:color w:val="292425"/>
          <w:spacing w:val="-4"/>
          <w:lang w:val="en-US"/>
        </w:rPr>
        <w:t>Increase the proportion of Aboriginal and Torres Strait Islander babies with a healthy birthweight (9.9% Aboriginal babies born at low birth weight compared to 4.8 non-aboriginal babies (2017))</w:t>
      </w:r>
      <w:r w:rsidR="009452C6">
        <w:rPr>
          <w:rFonts w:eastAsia="Times New Roman" w:cs="Calibri"/>
          <w:color w:val="292425"/>
          <w:spacing w:val="-4"/>
          <w:lang w:val="en-US"/>
        </w:rPr>
        <w:t>.</w:t>
      </w:r>
    </w:p>
    <w:p w14:paraId="54155E5F" w14:textId="5C5BEEC4" w:rsidR="00C569D1" w:rsidRPr="00C569D1" w:rsidRDefault="00C569D1" w:rsidP="00C569D1">
      <w:pPr>
        <w:widowControl w:val="0"/>
        <w:numPr>
          <w:ilvl w:val="0"/>
          <w:numId w:val="5"/>
        </w:numPr>
        <w:tabs>
          <w:tab w:val="left" w:pos="275"/>
        </w:tabs>
        <w:spacing w:after="0" w:line="240" w:lineRule="auto"/>
        <w:ind w:left="1134" w:hanging="425"/>
        <w:rPr>
          <w:rFonts w:eastAsia="Times New Roman" w:cs="Calibri"/>
        </w:rPr>
      </w:pPr>
      <w:r w:rsidRPr="00C569D1">
        <w:rPr>
          <w:rFonts w:eastAsia="Times New Roman" w:cs="Calibri"/>
        </w:rPr>
        <w:t>Children are not overrepresented in the child protection system (reduce the rate of over-representation in out-of-home care</w:t>
      </w:r>
      <w:r w:rsidR="009452C6">
        <w:rPr>
          <w:rFonts w:eastAsia="Times New Roman" w:cs="Calibri"/>
        </w:rPr>
        <w:t>.</w:t>
      </w:r>
    </w:p>
    <w:p w14:paraId="52D24245" w14:textId="77777777" w:rsidR="00C569D1" w:rsidRPr="00C569D1" w:rsidRDefault="00C569D1" w:rsidP="00C569D1">
      <w:pPr>
        <w:tabs>
          <w:tab w:val="left" w:pos="275"/>
        </w:tabs>
        <w:ind w:left="709"/>
        <w:contextualSpacing/>
        <w:rPr>
          <w:rFonts w:eastAsia="Times New Roman" w:cs="Calibri"/>
        </w:rPr>
      </w:pPr>
    </w:p>
    <w:p w14:paraId="2E297961" w14:textId="1464DCF6" w:rsidR="00C569D1" w:rsidRPr="009452C6" w:rsidRDefault="00C569D1" w:rsidP="009452C6">
      <w:pPr>
        <w:rPr>
          <w:rFonts w:eastAsia="Times New Roman" w:cs="Calibri"/>
          <w:bCs/>
        </w:rPr>
      </w:pPr>
      <w:r w:rsidRPr="009452C6">
        <w:rPr>
          <w:rFonts w:eastAsia="Times New Roman" w:cs="Calibri"/>
          <w:bCs/>
        </w:rPr>
        <w:t xml:space="preserve">Australian Institute of Health and Welfare </w:t>
      </w:r>
      <w:r w:rsidR="009452C6">
        <w:rPr>
          <w:rFonts w:eastAsia="Times New Roman" w:cs="Calibri"/>
          <w:bCs/>
        </w:rPr>
        <w:t xml:space="preserve">acknowledge that </w:t>
      </w:r>
      <w:r w:rsidR="009452C6">
        <w:rPr>
          <w:rFonts w:eastAsia="Times New Roman" w:cs="Calibri"/>
          <w:lang w:eastAsia="en-AU"/>
        </w:rPr>
        <w:t>t</w:t>
      </w:r>
      <w:r w:rsidRPr="00C569D1">
        <w:rPr>
          <w:rFonts w:eastAsia="Times New Roman" w:cs="Calibri"/>
          <w:lang w:eastAsia="en-AU"/>
        </w:rPr>
        <w:t>he foundations for good health start during the antenatal period, and the first years of life. Key areas highlighted for improvement</w:t>
      </w:r>
      <w:r w:rsidR="009452C6">
        <w:rPr>
          <w:rFonts w:eastAsia="Times New Roman" w:cs="Calibri"/>
          <w:lang w:eastAsia="en-AU"/>
        </w:rPr>
        <w:t xml:space="preserve"> identified in their</w:t>
      </w:r>
      <w:r w:rsidR="009452C6" w:rsidRPr="009452C6">
        <w:rPr>
          <w:rFonts w:eastAsia="Times New Roman" w:cs="Calibri"/>
          <w:bCs/>
        </w:rPr>
        <w:t xml:space="preserve"> 2013 </w:t>
      </w:r>
      <w:r w:rsidR="009452C6">
        <w:rPr>
          <w:rFonts w:eastAsia="Times New Roman" w:cs="Calibri"/>
          <w:bCs/>
        </w:rPr>
        <w:t>–</w:t>
      </w:r>
      <w:r w:rsidR="009452C6" w:rsidRPr="009452C6">
        <w:rPr>
          <w:rFonts w:eastAsia="Times New Roman" w:cs="Calibri"/>
          <w:bCs/>
        </w:rPr>
        <w:t xml:space="preserve"> 2023</w:t>
      </w:r>
      <w:r w:rsidR="009452C6">
        <w:rPr>
          <w:rFonts w:eastAsia="Times New Roman" w:cs="Calibri"/>
          <w:bCs/>
        </w:rPr>
        <w:t xml:space="preserve"> plan are to:</w:t>
      </w:r>
    </w:p>
    <w:p w14:paraId="08224054" w14:textId="0B0777E0" w:rsidR="00C569D1" w:rsidRPr="00C569D1" w:rsidRDefault="00C569D1" w:rsidP="00C569D1">
      <w:pPr>
        <w:numPr>
          <w:ilvl w:val="0"/>
          <w:numId w:val="6"/>
        </w:numPr>
        <w:spacing w:after="0" w:line="240" w:lineRule="auto"/>
        <w:rPr>
          <w:rFonts w:eastAsia="Times New Roman" w:cs="Calibri"/>
          <w:lang w:eastAsia="en-AU"/>
        </w:rPr>
      </w:pPr>
      <w:r w:rsidRPr="00C569D1">
        <w:rPr>
          <w:rFonts w:eastAsia="Times New Roman" w:cs="Calibri"/>
          <w:lang w:eastAsia="en-AU"/>
        </w:rPr>
        <w:t xml:space="preserve">Reduce the number of mothers smoking during </w:t>
      </w:r>
      <w:r w:rsidR="009452C6" w:rsidRPr="00C569D1">
        <w:rPr>
          <w:rFonts w:eastAsia="Times New Roman" w:cs="Calibri"/>
          <w:lang w:eastAsia="en-AU"/>
        </w:rPr>
        <w:t>pregnancy.</w:t>
      </w:r>
    </w:p>
    <w:p w14:paraId="250A91F0" w14:textId="13F318EA" w:rsidR="00C569D1" w:rsidRPr="00C569D1" w:rsidRDefault="00C569D1" w:rsidP="00C569D1">
      <w:pPr>
        <w:numPr>
          <w:ilvl w:val="0"/>
          <w:numId w:val="6"/>
        </w:numPr>
        <w:spacing w:after="0" w:line="240" w:lineRule="auto"/>
        <w:rPr>
          <w:rFonts w:eastAsia="Times New Roman" w:cs="Calibri"/>
          <w:lang w:eastAsia="en-AU"/>
        </w:rPr>
      </w:pPr>
      <w:r w:rsidRPr="00C569D1">
        <w:rPr>
          <w:rFonts w:eastAsia="Times New Roman" w:cs="Calibri"/>
          <w:lang w:eastAsia="en-AU"/>
        </w:rPr>
        <w:t xml:space="preserve">Increase breastfeeding </w:t>
      </w:r>
      <w:r w:rsidR="009452C6" w:rsidRPr="00C569D1">
        <w:rPr>
          <w:rFonts w:eastAsia="Times New Roman" w:cs="Calibri"/>
          <w:lang w:eastAsia="en-AU"/>
        </w:rPr>
        <w:t>rates.</w:t>
      </w:r>
    </w:p>
    <w:p w14:paraId="218D593D" w14:textId="444994E6" w:rsidR="00C569D1" w:rsidRPr="00C569D1" w:rsidRDefault="00C569D1" w:rsidP="00C569D1">
      <w:pPr>
        <w:numPr>
          <w:ilvl w:val="0"/>
          <w:numId w:val="6"/>
        </w:numPr>
        <w:spacing w:after="0" w:line="240" w:lineRule="auto"/>
        <w:rPr>
          <w:rFonts w:eastAsia="Times New Roman" w:cs="Calibri"/>
          <w:lang w:eastAsia="en-AU"/>
        </w:rPr>
      </w:pPr>
      <w:r w:rsidRPr="00C569D1">
        <w:rPr>
          <w:rFonts w:eastAsia="Times New Roman" w:cs="Calibri"/>
          <w:lang w:eastAsia="en-AU"/>
        </w:rPr>
        <w:t xml:space="preserve">Increase annual indigenous health checks </w:t>
      </w:r>
      <w:r w:rsidR="009452C6" w:rsidRPr="00C569D1">
        <w:rPr>
          <w:rFonts w:eastAsia="Times New Roman" w:cs="Calibri"/>
          <w:lang w:eastAsia="en-AU"/>
        </w:rPr>
        <w:t>(0</w:t>
      </w:r>
      <w:r w:rsidRPr="00C569D1">
        <w:rPr>
          <w:rFonts w:eastAsia="Times New Roman" w:cs="Calibri"/>
          <w:lang w:eastAsia="en-AU"/>
        </w:rPr>
        <w:t xml:space="preserve"> – 4 y</w:t>
      </w:r>
      <w:r w:rsidR="009452C6">
        <w:rPr>
          <w:rFonts w:eastAsia="Times New Roman" w:cs="Calibri"/>
          <w:lang w:eastAsia="en-AU"/>
        </w:rPr>
        <w:t>ear</w:t>
      </w:r>
      <w:r w:rsidRPr="00C569D1">
        <w:rPr>
          <w:rFonts w:eastAsia="Times New Roman" w:cs="Calibri"/>
          <w:lang w:eastAsia="en-AU"/>
        </w:rPr>
        <w:t>s)</w:t>
      </w:r>
      <w:r w:rsidR="009452C6">
        <w:rPr>
          <w:rFonts w:eastAsia="Times New Roman" w:cs="Calibri"/>
          <w:lang w:eastAsia="en-AU"/>
        </w:rPr>
        <w:t>.</w:t>
      </w:r>
    </w:p>
    <w:p w14:paraId="46A543B7" w14:textId="55E20C2D" w:rsidR="00C569D1" w:rsidRPr="00C569D1" w:rsidRDefault="00C569D1" w:rsidP="00C569D1">
      <w:pPr>
        <w:numPr>
          <w:ilvl w:val="0"/>
          <w:numId w:val="6"/>
        </w:numPr>
        <w:spacing w:after="0" w:line="240" w:lineRule="auto"/>
        <w:rPr>
          <w:rFonts w:eastAsia="Times New Roman" w:cs="Calibri"/>
          <w:lang w:eastAsia="en-AU"/>
        </w:rPr>
      </w:pPr>
      <w:r w:rsidRPr="00C569D1">
        <w:rPr>
          <w:rFonts w:eastAsia="Times New Roman" w:cs="Calibri"/>
          <w:lang w:eastAsia="en-AU"/>
        </w:rPr>
        <w:t>Increase oral health</w:t>
      </w:r>
      <w:r w:rsidR="009452C6">
        <w:rPr>
          <w:rFonts w:eastAsia="Times New Roman" w:cs="Calibri"/>
          <w:lang w:eastAsia="en-AU"/>
        </w:rPr>
        <w:t>.</w:t>
      </w:r>
    </w:p>
    <w:p w14:paraId="4D23930E" w14:textId="17A303AF" w:rsidR="00C569D1" w:rsidRDefault="00C569D1" w:rsidP="00C569D1">
      <w:pPr>
        <w:numPr>
          <w:ilvl w:val="0"/>
          <w:numId w:val="6"/>
        </w:numPr>
        <w:spacing w:after="0" w:line="240" w:lineRule="auto"/>
        <w:rPr>
          <w:rFonts w:eastAsia="Times New Roman" w:cs="Calibri"/>
          <w:lang w:eastAsia="en-AU"/>
        </w:rPr>
      </w:pPr>
      <w:r w:rsidRPr="00C569D1">
        <w:rPr>
          <w:rFonts w:eastAsia="Times New Roman" w:cs="Calibri"/>
          <w:lang w:eastAsia="en-AU"/>
        </w:rPr>
        <w:t>Increase vaccination rates</w:t>
      </w:r>
      <w:r w:rsidR="009452C6">
        <w:rPr>
          <w:rFonts w:eastAsia="Times New Roman" w:cs="Calibri"/>
          <w:lang w:eastAsia="en-AU"/>
        </w:rPr>
        <w:t>.</w:t>
      </w:r>
    </w:p>
    <w:p w14:paraId="63D11D86" w14:textId="77777777" w:rsidR="00F80F2D" w:rsidRPr="00C569D1" w:rsidRDefault="00F80F2D" w:rsidP="00F80F2D">
      <w:pPr>
        <w:spacing w:after="0" w:line="240" w:lineRule="auto"/>
        <w:rPr>
          <w:rFonts w:eastAsia="Times New Roman" w:cs="Calibri"/>
          <w:lang w:eastAsia="en-AU"/>
        </w:rPr>
      </w:pPr>
    </w:p>
    <w:p w14:paraId="68CD562D" w14:textId="77777777" w:rsidR="00C569D1" w:rsidRPr="00C569D1" w:rsidRDefault="00C569D1" w:rsidP="00C569D1">
      <w:pPr>
        <w:spacing w:after="0"/>
        <w:jc w:val="both"/>
        <w:rPr>
          <w:rFonts w:ascii="Segoe UI" w:eastAsia="Times New Roman" w:hAnsi="Segoe UI" w:cs="Segoe UI"/>
          <w:sz w:val="20"/>
          <w:szCs w:val="20"/>
        </w:rPr>
      </w:pPr>
    </w:p>
    <w:p w14:paraId="62B74E64" w14:textId="77777777" w:rsidR="00A23F5D" w:rsidRDefault="00A23F5D" w:rsidP="00A23F5D">
      <w:pPr>
        <w:rPr>
          <w:b/>
        </w:rPr>
      </w:pPr>
    </w:p>
    <w:p w14:paraId="1E3CC1E2" w14:textId="77777777" w:rsidR="00A23F5D" w:rsidRDefault="00A23F5D" w:rsidP="00A23F5D">
      <w:pPr>
        <w:rPr>
          <w:b/>
        </w:rPr>
      </w:pPr>
    </w:p>
    <w:p w14:paraId="23E73234" w14:textId="777DB28E" w:rsidR="00F21FD0" w:rsidRDefault="00F21FD0" w:rsidP="00E06BB5">
      <w:pPr>
        <w:pStyle w:val="ListParagraph"/>
        <w:spacing w:line="360" w:lineRule="auto"/>
      </w:pPr>
    </w:p>
    <w:p w14:paraId="3CF164E5" w14:textId="77777777" w:rsidR="001D1E82" w:rsidRPr="00460740" w:rsidRDefault="001D1E82" w:rsidP="00460740">
      <w:pPr>
        <w:ind w:firstLine="720"/>
      </w:pPr>
    </w:p>
    <w:p w14:paraId="3CB29BC4" w14:textId="77777777" w:rsidR="001439AD" w:rsidRDefault="001439AD" w:rsidP="00A23F5D"/>
    <w:sectPr w:rsidR="00143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43A"/>
    <w:multiLevelType w:val="hybridMultilevel"/>
    <w:tmpl w:val="9CFCD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A25932"/>
    <w:multiLevelType w:val="hybridMultilevel"/>
    <w:tmpl w:val="544AF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C3F6F"/>
    <w:multiLevelType w:val="hybridMultilevel"/>
    <w:tmpl w:val="40AA33A2"/>
    <w:lvl w:ilvl="0" w:tplc="0C090001">
      <w:start w:val="1"/>
      <w:numFmt w:val="bullet"/>
      <w:lvlText w:val=""/>
      <w:lvlJc w:val="left"/>
      <w:pPr>
        <w:ind w:left="2925" w:hanging="360"/>
      </w:pPr>
      <w:rPr>
        <w:rFonts w:ascii="Symbol" w:hAnsi="Symbol" w:hint="default"/>
      </w:rPr>
    </w:lvl>
    <w:lvl w:ilvl="1" w:tplc="0C090003">
      <w:start w:val="1"/>
      <w:numFmt w:val="bullet"/>
      <w:lvlText w:val="o"/>
      <w:lvlJc w:val="left"/>
      <w:pPr>
        <w:ind w:left="3645" w:hanging="360"/>
      </w:pPr>
      <w:rPr>
        <w:rFonts w:ascii="Courier New" w:hAnsi="Courier New" w:hint="default"/>
      </w:rPr>
    </w:lvl>
    <w:lvl w:ilvl="2" w:tplc="0C090005">
      <w:start w:val="1"/>
      <w:numFmt w:val="bullet"/>
      <w:lvlText w:val=""/>
      <w:lvlJc w:val="left"/>
      <w:pPr>
        <w:ind w:left="4365" w:hanging="360"/>
      </w:pPr>
      <w:rPr>
        <w:rFonts w:ascii="Wingdings" w:hAnsi="Wingdings" w:hint="default"/>
      </w:rPr>
    </w:lvl>
    <w:lvl w:ilvl="3" w:tplc="0C090001">
      <w:start w:val="1"/>
      <w:numFmt w:val="bullet"/>
      <w:lvlText w:val=""/>
      <w:lvlJc w:val="left"/>
      <w:pPr>
        <w:ind w:left="5085" w:hanging="360"/>
      </w:pPr>
      <w:rPr>
        <w:rFonts w:ascii="Symbol" w:hAnsi="Symbol" w:hint="default"/>
      </w:rPr>
    </w:lvl>
    <w:lvl w:ilvl="4" w:tplc="0C090003">
      <w:start w:val="1"/>
      <w:numFmt w:val="bullet"/>
      <w:lvlText w:val="o"/>
      <w:lvlJc w:val="left"/>
      <w:pPr>
        <w:ind w:left="5805" w:hanging="360"/>
      </w:pPr>
      <w:rPr>
        <w:rFonts w:ascii="Courier New" w:hAnsi="Courier New" w:hint="default"/>
      </w:rPr>
    </w:lvl>
    <w:lvl w:ilvl="5" w:tplc="0C090005">
      <w:start w:val="1"/>
      <w:numFmt w:val="bullet"/>
      <w:lvlText w:val=""/>
      <w:lvlJc w:val="left"/>
      <w:pPr>
        <w:ind w:left="6525" w:hanging="360"/>
      </w:pPr>
      <w:rPr>
        <w:rFonts w:ascii="Wingdings" w:hAnsi="Wingdings" w:hint="default"/>
      </w:rPr>
    </w:lvl>
    <w:lvl w:ilvl="6" w:tplc="0C090001">
      <w:start w:val="1"/>
      <w:numFmt w:val="bullet"/>
      <w:lvlText w:val=""/>
      <w:lvlJc w:val="left"/>
      <w:pPr>
        <w:ind w:left="7245" w:hanging="360"/>
      </w:pPr>
      <w:rPr>
        <w:rFonts w:ascii="Symbol" w:hAnsi="Symbol" w:hint="default"/>
      </w:rPr>
    </w:lvl>
    <w:lvl w:ilvl="7" w:tplc="0C090003">
      <w:start w:val="1"/>
      <w:numFmt w:val="bullet"/>
      <w:lvlText w:val="o"/>
      <w:lvlJc w:val="left"/>
      <w:pPr>
        <w:ind w:left="7965" w:hanging="360"/>
      </w:pPr>
      <w:rPr>
        <w:rFonts w:ascii="Courier New" w:hAnsi="Courier New" w:hint="default"/>
      </w:rPr>
    </w:lvl>
    <w:lvl w:ilvl="8" w:tplc="0C090005">
      <w:start w:val="1"/>
      <w:numFmt w:val="bullet"/>
      <w:lvlText w:val=""/>
      <w:lvlJc w:val="left"/>
      <w:pPr>
        <w:ind w:left="8685" w:hanging="360"/>
      </w:pPr>
      <w:rPr>
        <w:rFonts w:ascii="Wingdings" w:hAnsi="Wingdings" w:hint="default"/>
      </w:rPr>
    </w:lvl>
  </w:abstractNum>
  <w:abstractNum w:abstractNumId="3" w15:restartNumberingAfterBreak="0">
    <w:nsid w:val="2293128D"/>
    <w:multiLevelType w:val="hybridMultilevel"/>
    <w:tmpl w:val="A4C231F0"/>
    <w:lvl w:ilvl="0" w:tplc="2B467568">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8123E2"/>
    <w:multiLevelType w:val="hybridMultilevel"/>
    <w:tmpl w:val="A7A63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F13110"/>
    <w:multiLevelType w:val="hybridMultilevel"/>
    <w:tmpl w:val="059A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554E0"/>
    <w:multiLevelType w:val="hybridMultilevel"/>
    <w:tmpl w:val="DBCA6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D905E0"/>
    <w:multiLevelType w:val="multilevel"/>
    <w:tmpl w:val="190A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CF77F7"/>
    <w:multiLevelType w:val="hybridMultilevel"/>
    <w:tmpl w:val="000E8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141AE"/>
    <w:multiLevelType w:val="hybridMultilevel"/>
    <w:tmpl w:val="843A23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0256EC"/>
    <w:multiLevelType w:val="hybridMultilevel"/>
    <w:tmpl w:val="BDFAC45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534B35B9"/>
    <w:multiLevelType w:val="hybridMultilevel"/>
    <w:tmpl w:val="7772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635893"/>
    <w:multiLevelType w:val="hybridMultilevel"/>
    <w:tmpl w:val="A1E454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7826976"/>
    <w:multiLevelType w:val="hybridMultilevel"/>
    <w:tmpl w:val="7EC6F952"/>
    <w:lvl w:ilvl="0" w:tplc="FB5A5A02">
      <w:start w:val="8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550A0A"/>
    <w:multiLevelType w:val="hybridMultilevel"/>
    <w:tmpl w:val="AC445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A456D2"/>
    <w:multiLevelType w:val="hybridMultilevel"/>
    <w:tmpl w:val="C01A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B264F4"/>
    <w:multiLevelType w:val="hybridMultilevel"/>
    <w:tmpl w:val="17D80C0A"/>
    <w:lvl w:ilvl="0" w:tplc="2B467568">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F261D3"/>
    <w:multiLevelType w:val="hybridMultilevel"/>
    <w:tmpl w:val="B6D0E618"/>
    <w:lvl w:ilvl="0" w:tplc="531A7F80">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8" w15:restartNumberingAfterBreak="0">
    <w:nsid w:val="70232F70"/>
    <w:multiLevelType w:val="hybridMultilevel"/>
    <w:tmpl w:val="8E3058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472108"/>
    <w:multiLevelType w:val="hybridMultilevel"/>
    <w:tmpl w:val="B1407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5"/>
  </w:num>
  <w:num w:numId="4">
    <w:abstractNumId w:val="13"/>
  </w:num>
  <w:num w:numId="5">
    <w:abstractNumId w:val="2"/>
  </w:num>
  <w:num w:numId="6">
    <w:abstractNumId w:val="12"/>
  </w:num>
  <w:num w:numId="7">
    <w:abstractNumId w:val="10"/>
  </w:num>
  <w:num w:numId="8">
    <w:abstractNumId w:val="4"/>
  </w:num>
  <w:num w:numId="9">
    <w:abstractNumId w:val="19"/>
  </w:num>
  <w:num w:numId="10">
    <w:abstractNumId w:val="5"/>
  </w:num>
  <w:num w:numId="11">
    <w:abstractNumId w:val="14"/>
  </w:num>
  <w:num w:numId="12">
    <w:abstractNumId w:val="1"/>
  </w:num>
  <w:num w:numId="13">
    <w:abstractNumId w:val="11"/>
  </w:num>
  <w:num w:numId="14">
    <w:abstractNumId w:val="16"/>
  </w:num>
  <w:num w:numId="15">
    <w:abstractNumId w:val="3"/>
  </w:num>
  <w:num w:numId="16">
    <w:abstractNumId w:val="9"/>
  </w:num>
  <w:num w:numId="17">
    <w:abstractNumId w:val="0"/>
  </w:num>
  <w:num w:numId="18">
    <w:abstractNumId w:val="6"/>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5D"/>
    <w:rsid w:val="00055ABB"/>
    <w:rsid w:val="00074007"/>
    <w:rsid w:val="000D4087"/>
    <w:rsid w:val="00142945"/>
    <w:rsid w:val="001439AD"/>
    <w:rsid w:val="00150107"/>
    <w:rsid w:val="001541F6"/>
    <w:rsid w:val="00154314"/>
    <w:rsid w:val="00166B54"/>
    <w:rsid w:val="001B5B5E"/>
    <w:rsid w:val="001D1E82"/>
    <w:rsid w:val="001D3C6C"/>
    <w:rsid w:val="001D48E5"/>
    <w:rsid w:val="00212CBC"/>
    <w:rsid w:val="002653F8"/>
    <w:rsid w:val="00286FE1"/>
    <w:rsid w:val="002B7AD4"/>
    <w:rsid w:val="002D24E7"/>
    <w:rsid w:val="002D68E9"/>
    <w:rsid w:val="003026C9"/>
    <w:rsid w:val="0032291B"/>
    <w:rsid w:val="00347177"/>
    <w:rsid w:val="003700DE"/>
    <w:rsid w:val="00370573"/>
    <w:rsid w:val="003C5573"/>
    <w:rsid w:val="00460740"/>
    <w:rsid w:val="00460ADD"/>
    <w:rsid w:val="0047010D"/>
    <w:rsid w:val="0047789E"/>
    <w:rsid w:val="00486C77"/>
    <w:rsid w:val="004916A5"/>
    <w:rsid w:val="004C310C"/>
    <w:rsid w:val="004E05C6"/>
    <w:rsid w:val="004F6493"/>
    <w:rsid w:val="00542CD5"/>
    <w:rsid w:val="005469B7"/>
    <w:rsid w:val="00555D43"/>
    <w:rsid w:val="005874EC"/>
    <w:rsid w:val="005B2855"/>
    <w:rsid w:val="005C4927"/>
    <w:rsid w:val="00610074"/>
    <w:rsid w:val="00620E0A"/>
    <w:rsid w:val="00666E2E"/>
    <w:rsid w:val="006C2311"/>
    <w:rsid w:val="007000BC"/>
    <w:rsid w:val="00744DC5"/>
    <w:rsid w:val="00796B7D"/>
    <w:rsid w:val="007A1E34"/>
    <w:rsid w:val="007D6D69"/>
    <w:rsid w:val="00810195"/>
    <w:rsid w:val="00833111"/>
    <w:rsid w:val="00887415"/>
    <w:rsid w:val="008F7A98"/>
    <w:rsid w:val="009346AB"/>
    <w:rsid w:val="009452C6"/>
    <w:rsid w:val="009920F6"/>
    <w:rsid w:val="0099373F"/>
    <w:rsid w:val="009E757D"/>
    <w:rsid w:val="00A01583"/>
    <w:rsid w:val="00A05D81"/>
    <w:rsid w:val="00A23F5D"/>
    <w:rsid w:val="00A558FC"/>
    <w:rsid w:val="00A83CBE"/>
    <w:rsid w:val="00B35CDB"/>
    <w:rsid w:val="00B37B20"/>
    <w:rsid w:val="00B47A8F"/>
    <w:rsid w:val="00B76214"/>
    <w:rsid w:val="00B84ADB"/>
    <w:rsid w:val="00C048C8"/>
    <w:rsid w:val="00C17B4A"/>
    <w:rsid w:val="00C5322C"/>
    <w:rsid w:val="00C569D1"/>
    <w:rsid w:val="00C93EFD"/>
    <w:rsid w:val="00D0441D"/>
    <w:rsid w:val="00D215DC"/>
    <w:rsid w:val="00D44F63"/>
    <w:rsid w:val="00DC1639"/>
    <w:rsid w:val="00DC5CD8"/>
    <w:rsid w:val="00DD6A0F"/>
    <w:rsid w:val="00DF19C1"/>
    <w:rsid w:val="00DF2214"/>
    <w:rsid w:val="00E01267"/>
    <w:rsid w:val="00E04438"/>
    <w:rsid w:val="00E06BB5"/>
    <w:rsid w:val="00E17416"/>
    <w:rsid w:val="00E17A08"/>
    <w:rsid w:val="00EB70A7"/>
    <w:rsid w:val="00F21FD0"/>
    <w:rsid w:val="00F2602F"/>
    <w:rsid w:val="00F450E7"/>
    <w:rsid w:val="00F5329E"/>
    <w:rsid w:val="00F80F2D"/>
    <w:rsid w:val="00F908B2"/>
    <w:rsid w:val="00FB55C3"/>
    <w:rsid w:val="00FD3F47"/>
    <w:rsid w:val="00FE5162"/>
    <w:rsid w:val="00FE73EB"/>
    <w:rsid w:val="00FF5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9EB0"/>
  <w15:chartTrackingRefBased/>
  <w15:docId w15:val="{F6E02EF0-994D-4C28-A562-31398BEB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1E34"/>
    <w:rPr>
      <w:color w:val="0000FF"/>
      <w:u w:val="single"/>
    </w:rPr>
  </w:style>
  <w:style w:type="table" w:styleId="TableGrid">
    <w:name w:val="Table Grid"/>
    <w:basedOn w:val="TableNormal"/>
    <w:uiPriority w:val="39"/>
    <w:rsid w:val="0034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7177"/>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1D48E5"/>
    <w:pPr>
      <w:ind w:left="720"/>
      <w:contextualSpacing/>
    </w:pPr>
  </w:style>
  <w:style w:type="paragraph" w:customStyle="1" w:styleId="Default">
    <w:name w:val="Default"/>
    <w:rsid w:val="004F6493"/>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semiHidden/>
    <w:unhideWhenUsed/>
    <w:rsid w:val="00C569D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semiHidden/>
    <w:unhideWhenUsed/>
    <w:qFormat/>
    <w:rsid w:val="00C569D1"/>
    <w:pPr>
      <w:widowControl w:val="0"/>
      <w:spacing w:after="0" w:line="240" w:lineRule="auto"/>
    </w:pPr>
    <w:rPr>
      <w:rFonts w:ascii="Gill Sans MT" w:eastAsia="Times New Roman" w:hAnsi="Gill Sans MT" w:cs="Gill Sans MT"/>
      <w:sz w:val="20"/>
      <w:szCs w:val="20"/>
      <w:lang w:val="en-US"/>
    </w:rPr>
  </w:style>
  <w:style w:type="character" w:customStyle="1" w:styleId="BodyTextChar">
    <w:name w:val="Body Text Char"/>
    <w:basedOn w:val="DefaultParagraphFont"/>
    <w:link w:val="BodyText"/>
    <w:uiPriority w:val="1"/>
    <w:semiHidden/>
    <w:rsid w:val="00C569D1"/>
    <w:rPr>
      <w:rFonts w:ascii="Gill Sans MT" w:eastAsia="Times New Roman" w:hAnsi="Gill Sans MT" w:cs="Gill Sans MT"/>
      <w:sz w:val="20"/>
      <w:szCs w:val="20"/>
      <w:lang w:val="en-US"/>
    </w:rPr>
  </w:style>
  <w:style w:type="character" w:styleId="Strong">
    <w:name w:val="Strong"/>
    <w:basedOn w:val="DefaultParagraphFont"/>
    <w:uiPriority w:val="22"/>
    <w:qFormat/>
    <w:rsid w:val="00542CD5"/>
    <w:rPr>
      <w:b/>
      <w:bCs/>
    </w:rPr>
  </w:style>
  <w:style w:type="character" w:styleId="CommentReference">
    <w:name w:val="annotation reference"/>
    <w:basedOn w:val="DefaultParagraphFont"/>
    <w:uiPriority w:val="99"/>
    <w:semiHidden/>
    <w:unhideWhenUsed/>
    <w:rsid w:val="00542CD5"/>
    <w:rPr>
      <w:sz w:val="16"/>
      <w:szCs w:val="16"/>
    </w:rPr>
  </w:style>
  <w:style w:type="paragraph" w:styleId="CommentText">
    <w:name w:val="annotation text"/>
    <w:basedOn w:val="Normal"/>
    <w:link w:val="CommentTextChar"/>
    <w:uiPriority w:val="99"/>
    <w:semiHidden/>
    <w:unhideWhenUsed/>
    <w:rsid w:val="00542C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2CD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79255">
      <w:bodyDiv w:val="1"/>
      <w:marLeft w:val="0"/>
      <w:marRight w:val="0"/>
      <w:marTop w:val="0"/>
      <w:marBottom w:val="0"/>
      <w:divBdr>
        <w:top w:val="none" w:sz="0" w:space="0" w:color="auto"/>
        <w:left w:val="none" w:sz="0" w:space="0" w:color="auto"/>
        <w:bottom w:val="none" w:sz="0" w:space="0" w:color="auto"/>
        <w:right w:val="none" w:sz="0" w:space="0" w:color="auto"/>
      </w:divBdr>
    </w:div>
    <w:div w:id="629551061">
      <w:bodyDiv w:val="1"/>
      <w:marLeft w:val="0"/>
      <w:marRight w:val="0"/>
      <w:marTop w:val="0"/>
      <w:marBottom w:val="0"/>
      <w:divBdr>
        <w:top w:val="none" w:sz="0" w:space="0" w:color="auto"/>
        <w:left w:val="none" w:sz="0" w:space="0" w:color="auto"/>
        <w:bottom w:val="none" w:sz="0" w:space="0" w:color="auto"/>
        <w:right w:val="none" w:sz="0" w:space="0" w:color="auto"/>
      </w:divBdr>
    </w:div>
    <w:div w:id="631138478">
      <w:bodyDiv w:val="1"/>
      <w:marLeft w:val="0"/>
      <w:marRight w:val="0"/>
      <w:marTop w:val="0"/>
      <w:marBottom w:val="0"/>
      <w:divBdr>
        <w:top w:val="none" w:sz="0" w:space="0" w:color="auto"/>
        <w:left w:val="none" w:sz="0" w:space="0" w:color="auto"/>
        <w:bottom w:val="none" w:sz="0" w:space="0" w:color="auto"/>
        <w:right w:val="none" w:sz="0" w:space="0" w:color="auto"/>
      </w:divBdr>
    </w:div>
    <w:div w:id="731848129">
      <w:bodyDiv w:val="1"/>
      <w:marLeft w:val="0"/>
      <w:marRight w:val="0"/>
      <w:marTop w:val="0"/>
      <w:marBottom w:val="0"/>
      <w:divBdr>
        <w:top w:val="none" w:sz="0" w:space="0" w:color="auto"/>
        <w:left w:val="none" w:sz="0" w:space="0" w:color="auto"/>
        <w:bottom w:val="none" w:sz="0" w:space="0" w:color="auto"/>
        <w:right w:val="none" w:sz="0" w:space="0" w:color="auto"/>
      </w:divBdr>
    </w:div>
    <w:div w:id="15106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Birth Notifications in Central Goldfields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2016/17</c:v>
                </c:pt>
                <c:pt idx="1">
                  <c:v>2017/18</c:v>
                </c:pt>
                <c:pt idx="2">
                  <c:v>2018/19</c:v>
                </c:pt>
                <c:pt idx="3">
                  <c:v>2019/20</c:v>
                </c:pt>
                <c:pt idx="4">
                  <c:v>2020/21</c:v>
                </c:pt>
              </c:strCache>
            </c:strRef>
          </c:cat>
          <c:val>
            <c:numRef>
              <c:f>Sheet1!$B$2:$B$6</c:f>
              <c:numCache>
                <c:formatCode>General</c:formatCode>
                <c:ptCount val="5"/>
                <c:pt idx="0">
                  <c:v>123</c:v>
                </c:pt>
                <c:pt idx="1">
                  <c:v>122</c:v>
                </c:pt>
                <c:pt idx="2">
                  <c:v>119</c:v>
                </c:pt>
                <c:pt idx="3">
                  <c:v>113</c:v>
                </c:pt>
                <c:pt idx="4">
                  <c:v>112</c:v>
                </c:pt>
              </c:numCache>
            </c:numRef>
          </c:val>
          <c:extLst>
            <c:ext xmlns:c16="http://schemas.microsoft.com/office/drawing/2014/chart" uri="{C3380CC4-5D6E-409C-BE32-E72D297353CC}">
              <c16:uniqueId val="{00000000-C70D-4718-BA64-DE8809B5F26B}"/>
            </c:ext>
          </c:extLst>
        </c:ser>
        <c:dLbls>
          <c:showLegendKey val="0"/>
          <c:showVal val="0"/>
          <c:showCatName val="0"/>
          <c:showSerName val="0"/>
          <c:showPercent val="0"/>
          <c:showBubbleSize val="0"/>
        </c:dLbls>
        <c:gapWidth val="219"/>
        <c:overlap val="-27"/>
        <c:axId val="377651904"/>
        <c:axId val="377648296"/>
      </c:barChart>
      <c:catAx>
        <c:axId val="37765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648296"/>
        <c:crosses val="autoZero"/>
        <c:auto val="1"/>
        <c:lblAlgn val="ctr"/>
        <c:lblOffset val="100"/>
        <c:noMultiLvlLbl val="0"/>
      </c:catAx>
      <c:valAx>
        <c:axId val="377648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65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Disability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Sheet1!$A$1:$A$8</c:f>
              <c:strCache>
                <c:ptCount val="8"/>
                <c:pt idx="0">
                  <c:v>Intellectual disability &amp; Down Syndrome</c:v>
                </c:pt>
                <c:pt idx="1">
                  <c:v>Autism</c:v>
                </c:pt>
                <c:pt idx="2">
                  <c:v>Developmental Delay</c:v>
                </c:pt>
                <c:pt idx="3">
                  <c:v>Mental Illness Associated Disability</c:v>
                </c:pt>
                <c:pt idx="4">
                  <c:v>All other disabilities</c:v>
                </c:pt>
                <c:pt idx="5">
                  <c:v>Neurological Disorder</c:v>
                </c:pt>
                <c:pt idx="6">
                  <c:v>Vision Hearing Speech</c:v>
                </c:pt>
                <c:pt idx="7">
                  <c:v>Disability caused by injury</c:v>
                </c:pt>
              </c:strCache>
            </c:strRef>
          </c:cat>
          <c:val>
            <c:numRef>
              <c:f>Sheet1!$B$1:$B$8</c:f>
              <c:numCache>
                <c:formatCode>General</c:formatCode>
                <c:ptCount val="8"/>
                <c:pt idx="0">
                  <c:v>258</c:v>
                </c:pt>
                <c:pt idx="1">
                  <c:v>247</c:v>
                </c:pt>
                <c:pt idx="2">
                  <c:v>147</c:v>
                </c:pt>
                <c:pt idx="3">
                  <c:v>128</c:v>
                </c:pt>
                <c:pt idx="4">
                  <c:v>98</c:v>
                </c:pt>
                <c:pt idx="5">
                  <c:v>90</c:v>
                </c:pt>
                <c:pt idx="6">
                  <c:v>74</c:v>
                </c:pt>
                <c:pt idx="7">
                  <c:v>49</c:v>
                </c:pt>
              </c:numCache>
            </c:numRef>
          </c:val>
          <c:extLst>
            <c:ext xmlns:c16="http://schemas.microsoft.com/office/drawing/2014/chart" uri="{C3380CC4-5D6E-409C-BE32-E72D297353CC}">
              <c16:uniqueId val="{00000000-364C-413B-ADD2-45D4D09FAFC6}"/>
            </c:ext>
          </c:extLst>
        </c:ser>
        <c:dLbls>
          <c:showLegendKey val="0"/>
          <c:showVal val="0"/>
          <c:showCatName val="0"/>
          <c:showSerName val="0"/>
          <c:showPercent val="0"/>
          <c:showBubbleSize val="0"/>
        </c:dLbls>
        <c:gapWidth val="182"/>
        <c:axId val="399537400"/>
        <c:axId val="399533136"/>
      </c:barChart>
      <c:catAx>
        <c:axId val="399537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33136"/>
        <c:crosses val="autoZero"/>
        <c:auto val="1"/>
        <c:lblAlgn val="ctr"/>
        <c:lblOffset val="100"/>
        <c:noMultiLvlLbl val="0"/>
      </c:catAx>
      <c:valAx>
        <c:axId val="399533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3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2A34-3651-42D5-A855-3E2734B3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Maryborough District Health Service</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Merran Fleming</dc:creator>
  <cp:keywords/>
  <dc:description/>
  <cp:lastModifiedBy>Carolyn Bartholomeusz</cp:lastModifiedBy>
  <cp:revision>4</cp:revision>
  <dcterms:created xsi:type="dcterms:W3CDTF">2021-06-24T06:14:00Z</dcterms:created>
  <dcterms:modified xsi:type="dcterms:W3CDTF">2021-11-14T11:11:00Z</dcterms:modified>
</cp:coreProperties>
</file>